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5ACF" w14:textId="67363658" w:rsidR="00CC4D26" w:rsidRDefault="00CC4D26" w:rsidP="00CC4D26">
      <w:pPr>
        <w:pStyle w:val="CRCoverPage"/>
        <w:outlineLvl w:val="0"/>
        <w:rPr>
          <w:b/>
          <w:noProof/>
          <w:sz w:val="24"/>
        </w:rPr>
      </w:pPr>
      <w:r>
        <w:rPr>
          <w:b/>
          <w:noProof/>
          <w:sz w:val="24"/>
        </w:rPr>
        <w:t>3GPP TSG RAN WG1 #108-e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B0A8C" w:rsidRPr="006B0A8C">
        <w:rPr>
          <w:b/>
          <w:noProof/>
          <w:sz w:val="24"/>
        </w:rPr>
        <w:t>R1-2202178</w:t>
      </w:r>
    </w:p>
    <w:p w14:paraId="6BE17743" w14:textId="77777777" w:rsidR="00CC4D26" w:rsidRDefault="00CC4D26" w:rsidP="00CC4D26">
      <w:pPr>
        <w:pStyle w:val="CRCoverPage"/>
        <w:outlineLvl w:val="0"/>
        <w:rPr>
          <w:b/>
          <w:noProof/>
          <w:sz w:val="24"/>
        </w:rPr>
      </w:pPr>
      <w:r>
        <w:rPr>
          <w:b/>
          <w:noProof/>
          <w:sz w:val="24"/>
        </w:rPr>
        <w:t>e-Meeting, February 21</w:t>
      </w:r>
      <w:r>
        <w:rPr>
          <w:b/>
          <w:noProof/>
          <w:sz w:val="24"/>
          <w:vertAlign w:val="superscript"/>
        </w:rPr>
        <w:t>th</w:t>
      </w:r>
      <w:r>
        <w:rPr>
          <w:b/>
          <w:noProof/>
          <w:sz w:val="24"/>
        </w:rPr>
        <w:t xml:space="preserve"> – March 3</w:t>
      </w:r>
      <w:r>
        <w:rPr>
          <w:b/>
          <w:noProof/>
          <w:sz w:val="24"/>
          <w:vertAlign w:val="superscript"/>
        </w:rPr>
        <w:t>rd</w:t>
      </w:r>
      <w:r>
        <w:rPr>
          <w:b/>
          <w:noProof/>
          <w:sz w:val="24"/>
        </w:rPr>
        <w:t>, 2022</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182D093"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0511A">
        <w:rPr>
          <w:rFonts w:ascii="Arial" w:hAnsi="Arial"/>
          <w:sz w:val="24"/>
        </w:rPr>
        <w:t>8.1</w:t>
      </w:r>
      <w:r w:rsidR="00DC6CBC">
        <w:rPr>
          <w:rFonts w:ascii="Arial" w:hAnsi="Arial"/>
          <w:sz w:val="24"/>
        </w:rPr>
        <w:t>6</w:t>
      </w:r>
      <w:r w:rsidR="00C0511A">
        <w:rPr>
          <w:rFonts w:ascii="Arial" w:hAnsi="Arial"/>
          <w:sz w:val="24"/>
        </w:rPr>
        <w:t>.14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49F16F4"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0511A" w:rsidRPr="00C0511A">
        <w:rPr>
          <w:rFonts w:ascii="Arial" w:hAnsi="Arial"/>
          <w:sz w:val="24"/>
        </w:rPr>
        <w:t>UE features for IoT over NTN</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334739D4" w:rsidR="003009A5" w:rsidRDefault="000F7431" w:rsidP="003009A5">
      <w:pPr>
        <w:pStyle w:val="Heading1"/>
        <w:numPr>
          <w:ilvl w:val="0"/>
          <w:numId w:val="1"/>
        </w:numPr>
        <w:tabs>
          <w:tab w:val="clear" w:pos="1140"/>
          <w:tab w:val="num" w:pos="720"/>
        </w:tabs>
        <w:ind w:left="720" w:hanging="720"/>
        <w:jc w:val="both"/>
      </w:pPr>
      <w:r>
        <w:t>Introduction</w:t>
      </w:r>
    </w:p>
    <w:p w14:paraId="00009C48" w14:textId="2F1AE674" w:rsidR="00DA3BF2" w:rsidRDefault="000F7431" w:rsidP="00E31BC4">
      <w:r>
        <w:t xml:space="preserve">In </w:t>
      </w:r>
      <w:r w:rsidR="00A770E6">
        <w:t>RAN1#10</w:t>
      </w:r>
      <w:r w:rsidR="00A60902">
        <w:t>7</w:t>
      </w:r>
      <w:r w:rsidR="00A770E6">
        <w:t>-e</w:t>
      </w:r>
      <w:r>
        <w:t xml:space="preserve">, </w:t>
      </w:r>
      <w:r w:rsidR="00BF39D2">
        <w:t xml:space="preserve">a table for </w:t>
      </w:r>
      <w:r w:rsidR="0075535C">
        <w:t xml:space="preserve">the RAN1 </w:t>
      </w:r>
      <w:r w:rsidR="00BF39D2">
        <w:t>UE feature</w:t>
      </w:r>
      <w:r w:rsidR="0075535C">
        <w:t xml:space="preserve"> list</w:t>
      </w:r>
      <w:r w:rsidR="00BF39D2">
        <w:t xml:space="preserve"> </w:t>
      </w:r>
      <w:r w:rsidR="0075535C">
        <w:t xml:space="preserve">for IoT-NTN </w:t>
      </w:r>
      <w:r w:rsidR="00BF39D2">
        <w:t>was agreed as a baseline</w:t>
      </w:r>
      <w:r w:rsidR="00510555">
        <w:t xml:space="preserve"> (</w:t>
      </w:r>
      <w:r w:rsidR="003E53E6" w:rsidRPr="00DE1F14">
        <w:rPr>
          <w:b/>
          <w:bCs/>
        </w:rPr>
        <w:t xml:space="preserve">Section </w:t>
      </w:r>
      <w:r w:rsidR="00CE4642">
        <w:rPr>
          <w:b/>
          <w:bCs/>
        </w:rPr>
        <w:t>5/6</w:t>
      </w:r>
      <w:r w:rsidR="003E53E6" w:rsidRPr="00DE1F14">
        <w:rPr>
          <w:b/>
          <w:bCs/>
        </w:rPr>
        <w:t xml:space="preserve"> in </w:t>
      </w:r>
      <w:r w:rsidR="009D44D5">
        <w:rPr>
          <w:b/>
          <w:bCs/>
        </w:rPr>
        <w:t xml:space="preserve">draft </w:t>
      </w:r>
      <w:r w:rsidR="003E53E6" w:rsidRPr="00DE1F14">
        <w:rPr>
          <w:b/>
          <w:bCs/>
        </w:rPr>
        <w:t>R1-21</w:t>
      </w:r>
      <w:r w:rsidR="00CE4642">
        <w:rPr>
          <w:b/>
          <w:bCs/>
        </w:rPr>
        <w:t>11813</w:t>
      </w:r>
      <w:r w:rsidR="00510555">
        <w:t>)</w:t>
      </w:r>
      <w:r w:rsidR="00BF39D2">
        <w:t xml:space="preserve">, with unresolved items marked </w:t>
      </w:r>
      <w:r w:rsidR="0075535C">
        <w:t xml:space="preserve">in the table </w:t>
      </w:r>
      <w:r w:rsidR="00BF39D2">
        <w:t>with yellow highlights</w:t>
      </w:r>
      <w:r w:rsidR="0075535C">
        <w:t>.</w:t>
      </w:r>
      <w:r w:rsidR="00E179BC">
        <w:t xml:space="preserve"> In this contribution, we provide </w:t>
      </w:r>
      <w:r w:rsidR="0075535C">
        <w:t xml:space="preserve">our </w:t>
      </w:r>
      <w:r w:rsidR="00CD637C">
        <w:t>proposals</w:t>
      </w:r>
      <w:r w:rsidR="0075535C">
        <w:t xml:space="preserve"> </w:t>
      </w:r>
      <w:r w:rsidR="00DE1F14">
        <w:t xml:space="preserve">on </w:t>
      </w:r>
      <w:r w:rsidR="00C33EA5">
        <w:t>these unresolved</w:t>
      </w:r>
      <w:r w:rsidR="00DE1F14">
        <w:t xml:space="preserve"> aspects, with a goal </w:t>
      </w:r>
      <w:r w:rsidR="0075535C">
        <w:t xml:space="preserve">towards further refining the agreed </w:t>
      </w:r>
      <w:r w:rsidR="00510555">
        <w:t>table</w:t>
      </w:r>
      <w:r w:rsidR="00E179BC">
        <w:t>.</w:t>
      </w:r>
    </w:p>
    <w:p w14:paraId="278610A8" w14:textId="77777777" w:rsidR="00BC2C76" w:rsidRDefault="00BC2C76" w:rsidP="00BC2C76">
      <w:pPr>
        <w:pStyle w:val="Heading1"/>
        <w:numPr>
          <w:ilvl w:val="0"/>
          <w:numId w:val="1"/>
        </w:numPr>
        <w:tabs>
          <w:tab w:val="clear" w:pos="1140"/>
          <w:tab w:val="num" w:pos="720"/>
        </w:tabs>
        <w:ind w:left="720" w:hanging="720"/>
        <w:jc w:val="both"/>
      </w:pPr>
      <w:r>
        <w:t>Common TA component in FG 2-1 (for GEO)</w:t>
      </w:r>
    </w:p>
    <w:p w14:paraId="5D39B719" w14:textId="3F1AC2A1" w:rsidR="00BC2C76" w:rsidRDefault="00BC2C76" w:rsidP="00BC2C76">
      <w:r>
        <w:t xml:space="preserve">Currently, the </w:t>
      </w:r>
      <w:r w:rsidR="00424F16">
        <w:t>FG 2-1</w:t>
      </w:r>
      <w:r>
        <w:t xml:space="preserve"> corresponding to “Basic IoT over NTN support” mentions the following as a component:</w:t>
      </w:r>
    </w:p>
    <w:p w14:paraId="0A323185" w14:textId="77777777" w:rsidR="00BC2C76" w:rsidRPr="007D3C0C" w:rsidRDefault="00BC2C76" w:rsidP="00BC2C76">
      <w:pPr>
        <w:pStyle w:val="ListParagraph"/>
        <w:numPr>
          <w:ilvl w:val="0"/>
          <w:numId w:val="45"/>
        </w:numPr>
        <w:rPr>
          <w:rFonts w:cs="Arial"/>
          <w:i/>
          <w:iCs/>
          <w:color w:val="000000"/>
          <w:sz w:val="18"/>
          <w:szCs w:val="18"/>
        </w:rPr>
      </w:pPr>
      <w:r w:rsidRPr="007D3C0C">
        <w:rPr>
          <w:rFonts w:cs="Arial"/>
          <w:i/>
          <w:iCs/>
          <w:color w:val="000000"/>
          <w:sz w:val="18"/>
          <w:szCs w:val="18"/>
        </w:rPr>
        <w:t xml:space="preserve">“…6. UE applies common TA </w:t>
      </w:r>
      <w:r w:rsidRPr="007D3C0C">
        <w:rPr>
          <w:rFonts w:cs="Arial"/>
          <w:i/>
          <w:iCs/>
          <w:strike/>
          <w:color w:val="FF0000"/>
          <w:sz w:val="18"/>
          <w:szCs w:val="18"/>
        </w:rPr>
        <w:t>[</w:t>
      </w:r>
      <w:r w:rsidRPr="007D3C0C">
        <w:rPr>
          <w:rFonts w:cs="Arial"/>
          <w:i/>
          <w:iCs/>
          <w:color w:val="000000"/>
          <w:sz w:val="18"/>
          <w:szCs w:val="18"/>
        </w:rPr>
        <w:t>in RRC_IDLE and RRC_CONNECTED</w:t>
      </w:r>
      <w:r w:rsidRPr="007D3C0C">
        <w:rPr>
          <w:rFonts w:cs="Arial"/>
          <w:i/>
          <w:iCs/>
          <w:strike/>
          <w:color w:val="FF0000"/>
          <w:sz w:val="18"/>
          <w:szCs w:val="18"/>
        </w:rPr>
        <w:t>]</w:t>
      </w:r>
      <w:r w:rsidRPr="007D3C0C">
        <w:rPr>
          <w:rFonts w:cs="Arial"/>
          <w:i/>
          <w:iCs/>
          <w:color w:val="000000"/>
          <w:sz w:val="18"/>
          <w:szCs w:val="18"/>
        </w:rPr>
        <w:t xml:space="preserve"> according to the parameters provided by the network </w:t>
      </w:r>
      <w:r w:rsidRPr="007D3C0C">
        <w:rPr>
          <w:rFonts w:cs="Arial"/>
          <w:i/>
          <w:iCs/>
          <w:color w:val="FF0000"/>
          <w:sz w:val="18"/>
          <w:szCs w:val="18"/>
        </w:rPr>
        <w:t>(UE considers common TA as 0 if the parameter is not provided)</w:t>
      </w:r>
      <w:r w:rsidRPr="007D3C0C">
        <w:rPr>
          <w:rFonts w:cs="Arial"/>
          <w:i/>
          <w:iCs/>
          <w:color w:val="000000"/>
          <w:sz w:val="18"/>
          <w:szCs w:val="18"/>
        </w:rPr>
        <w:t xml:space="preserve"> </w:t>
      </w:r>
      <w:r w:rsidRPr="007D3C0C">
        <w:rPr>
          <w:rFonts w:cs="Arial"/>
          <w:i/>
          <w:iCs/>
          <w:strike/>
          <w:color w:val="FF0000"/>
          <w:sz w:val="18"/>
          <w:szCs w:val="18"/>
        </w:rPr>
        <w:t>(if any)</w:t>
      </w:r>
      <w:r w:rsidRPr="007D3C0C">
        <w:rPr>
          <w:rFonts w:cs="Arial"/>
          <w:color w:val="FF0000"/>
          <w:sz w:val="18"/>
          <w:szCs w:val="18"/>
        </w:rPr>
        <w:t xml:space="preserve"> </w:t>
      </w:r>
      <w:r w:rsidRPr="007D3C0C">
        <w:rPr>
          <w:rFonts w:cs="Arial"/>
          <w:sz w:val="18"/>
          <w:szCs w:val="18"/>
          <w:u w:val="single"/>
        </w:rPr>
        <w:t>…”</w:t>
      </w:r>
    </w:p>
    <w:p w14:paraId="42A28353" w14:textId="77777777" w:rsidR="00BC2C76" w:rsidRDefault="00BC2C76" w:rsidP="00BC2C76">
      <w:pPr>
        <w:rPr>
          <w:lang w:eastAsia="ko-KR"/>
        </w:rPr>
      </w:pPr>
      <w:r>
        <w:t xml:space="preserve">The common TA parameters in general include the parameters </w:t>
      </w:r>
      <w:proofErr w:type="spellStart"/>
      <w:r w:rsidRPr="00F175EB">
        <w:rPr>
          <w:i/>
          <w:iCs/>
          <w:lang w:eastAsia="ko-KR"/>
        </w:rPr>
        <w:t>TACommon</w:t>
      </w:r>
      <w:proofErr w:type="spellEnd"/>
      <w:r w:rsidRPr="00F175EB">
        <w:rPr>
          <w:i/>
          <w:iCs/>
          <w:lang w:eastAsia="ko-KR"/>
        </w:rPr>
        <w:t xml:space="preserve">, </w:t>
      </w:r>
      <w:proofErr w:type="spellStart"/>
      <w:r w:rsidRPr="00F175EB">
        <w:rPr>
          <w:i/>
          <w:iCs/>
          <w:lang w:eastAsia="ko-KR"/>
        </w:rPr>
        <w:t>TACommonDrift</w:t>
      </w:r>
      <w:proofErr w:type="spellEnd"/>
      <w:r w:rsidRPr="00F175EB">
        <w:rPr>
          <w:i/>
          <w:iCs/>
          <w:lang w:eastAsia="ko-KR"/>
        </w:rPr>
        <w:t xml:space="preserve"> </w:t>
      </w:r>
      <w:r w:rsidRPr="003B2AA9">
        <w:rPr>
          <w:lang w:eastAsia="ko-KR"/>
        </w:rPr>
        <w:t xml:space="preserve">and </w:t>
      </w:r>
      <w:proofErr w:type="spellStart"/>
      <w:r w:rsidRPr="00F175EB">
        <w:rPr>
          <w:i/>
          <w:iCs/>
          <w:lang w:eastAsia="ko-KR"/>
        </w:rPr>
        <w:t>TACommonDriftVariation</w:t>
      </w:r>
      <w:proofErr w:type="spellEnd"/>
      <w:r>
        <w:rPr>
          <w:i/>
          <w:iCs/>
          <w:lang w:eastAsia="ko-KR"/>
        </w:rPr>
        <w:t xml:space="preserve">, </w:t>
      </w:r>
      <w:r w:rsidRPr="00B17215">
        <w:rPr>
          <w:lang w:eastAsia="ko-KR"/>
        </w:rPr>
        <w:t xml:space="preserve">with the latter two indicating </w:t>
      </w:r>
      <w:r>
        <w:rPr>
          <w:lang w:eastAsia="ko-KR"/>
        </w:rPr>
        <w:t>adjustments related to</w:t>
      </w:r>
      <w:r w:rsidRPr="00B17215">
        <w:rPr>
          <w:lang w:eastAsia="ko-KR"/>
        </w:rPr>
        <w:t xml:space="preserve"> the common TA drift.</w:t>
      </w:r>
      <w:r>
        <w:rPr>
          <w:lang w:eastAsia="ko-KR"/>
        </w:rPr>
        <w:t xml:space="preserve"> However, in GEO NTNs (which is the intended base case corresponding to FG 2-1), the drift/variation in the common TA is negligible. To this end, for simplified operation over GEO NTNs, we propose to modify the requirements on applying common TA to only include the common TA (i.e., the term </w:t>
      </w:r>
      <w:proofErr w:type="spellStart"/>
      <w:r w:rsidRPr="002D215F">
        <w:rPr>
          <w:i/>
          <w:iCs/>
          <w:lang w:eastAsia="ko-KR"/>
        </w:rPr>
        <w:t>TACommon</w:t>
      </w:r>
      <w:proofErr w:type="spellEnd"/>
      <w:r>
        <w:rPr>
          <w:lang w:eastAsia="ko-KR"/>
        </w:rPr>
        <w:t>), and not the drift/variation parameters.</w:t>
      </w:r>
    </w:p>
    <w:p w14:paraId="346CC1BB" w14:textId="3BA086F1" w:rsidR="00BC2C76" w:rsidRPr="00BC2C76" w:rsidRDefault="00BC2C76" w:rsidP="00E31BC4">
      <w:pPr>
        <w:rPr>
          <w:b/>
          <w:bCs/>
          <w:i/>
          <w:iCs/>
        </w:rPr>
      </w:pPr>
      <w:r w:rsidRPr="003B2AA9">
        <w:rPr>
          <w:b/>
          <w:bCs/>
          <w:i/>
          <w:iCs/>
          <w:u w:val="single"/>
          <w:lang w:eastAsia="ko-KR"/>
        </w:rPr>
        <w:t>Proposal</w:t>
      </w:r>
      <w:r w:rsidR="00DE4963">
        <w:rPr>
          <w:b/>
          <w:bCs/>
          <w:i/>
          <w:iCs/>
          <w:u w:val="single"/>
          <w:lang w:eastAsia="ko-KR"/>
        </w:rPr>
        <w:t xml:space="preserve"> 1</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31EA77CA" w14:textId="42AFE927" w:rsidR="00EF3FC9" w:rsidRDefault="00005F51" w:rsidP="00EF3FC9">
      <w:pPr>
        <w:pStyle w:val="Heading1"/>
        <w:numPr>
          <w:ilvl w:val="0"/>
          <w:numId w:val="1"/>
        </w:numPr>
        <w:tabs>
          <w:tab w:val="clear" w:pos="1140"/>
          <w:tab w:val="num" w:pos="720"/>
        </w:tabs>
        <w:ind w:left="720" w:hanging="720"/>
        <w:jc w:val="both"/>
      </w:pPr>
      <w:r>
        <w:t>Capability type</w:t>
      </w:r>
    </w:p>
    <w:p w14:paraId="7DA2A7BE" w14:textId="0AD7E96C" w:rsidR="00005F51" w:rsidRPr="00821964" w:rsidRDefault="00821964" w:rsidP="00005F51">
      <w:pPr>
        <w:rPr>
          <w:b/>
          <w:bCs/>
        </w:rPr>
      </w:pPr>
      <w:r w:rsidRPr="00821964">
        <w:rPr>
          <w:b/>
          <w:bCs/>
          <w:i/>
          <w:iCs/>
          <w:u w:val="single"/>
        </w:rPr>
        <w:t>Proposal</w:t>
      </w:r>
      <w:r w:rsidR="00DE4963">
        <w:rPr>
          <w:b/>
          <w:bCs/>
          <w:i/>
          <w:iCs/>
          <w:u w:val="single"/>
        </w:rPr>
        <w:t xml:space="preserve"> 2</w:t>
      </w:r>
      <w:r w:rsidRPr="00821964">
        <w:rPr>
          <w:b/>
          <w:bCs/>
        </w:rPr>
        <w:t xml:space="preserve">: </w:t>
      </w:r>
      <w:r w:rsidR="00005F51" w:rsidRPr="00821964">
        <w:rPr>
          <w:b/>
          <w:bCs/>
        </w:rPr>
        <w:t>A UE’s support of NTN should be a “per band” capability</w:t>
      </w:r>
      <w:r w:rsidRPr="00821964">
        <w:rPr>
          <w:b/>
          <w:bCs/>
        </w:rPr>
        <w:t>.</w:t>
      </w:r>
    </w:p>
    <w:p w14:paraId="051070F3" w14:textId="22EB98B8" w:rsidR="0039738E" w:rsidRDefault="008B7A41" w:rsidP="0039738E">
      <w:pPr>
        <w:pStyle w:val="Heading1"/>
        <w:numPr>
          <w:ilvl w:val="0"/>
          <w:numId w:val="1"/>
        </w:numPr>
        <w:tabs>
          <w:tab w:val="clear" w:pos="1140"/>
          <w:tab w:val="num" w:pos="720"/>
        </w:tabs>
        <w:ind w:left="720" w:hanging="720"/>
        <w:jc w:val="both"/>
      </w:pPr>
      <w:r>
        <w:t xml:space="preserve">Separate capabilities for </w:t>
      </w:r>
      <w:r w:rsidR="0039738E">
        <w:t xml:space="preserve">NB-IoT </w:t>
      </w:r>
      <w:r>
        <w:t xml:space="preserve">and </w:t>
      </w:r>
      <w:proofErr w:type="spellStart"/>
      <w:r>
        <w:t>eMTC</w:t>
      </w:r>
      <w:proofErr w:type="spellEnd"/>
    </w:p>
    <w:p w14:paraId="019BE9C8" w14:textId="18C4DD48" w:rsidR="0039738E" w:rsidRPr="005744CD" w:rsidRDefault="008B7A41" w:rsidP="00D70902">
      <w:r w:rsidRPr="005744CD">
        <w:t>NB-IoT</w:t>
      </w:r>
      <w:r w:rsidR="00A06A6D">
        <w:t xml:space="preserve"> and </w:t>
      </w:r>
      <w:proofErr w:type="spellStart"/>
      <w:r w:rsidR="00A06A6D">
        <w:t>eMTC</w:t>
      </w:r>
      <w:proofErr w:type="spellEnd"/>
      <w:r w:rsidRPr="005744CD">
        <w:t xml:space="preserve"> capabilities are captured separately by RAN2. While for the feature list discussion, it may be OK to discuss these together, </w:t>
      </w:r>
      <w:r w:rsidR="005744CD" w:rsidRPr="005744CD">
        <w:t xml:space="preserve">eventually, these need to be captured separately for </w:t>
      </w:r>
      <w:proofErr w:type="spellStart"/>
      <w:r w:rsidR="005744CD" w:rsidRPr="005744CD">
        <w:t>eMTC</w:t>
      </w:r>
      <w:proofErr w:type="spellEnd"/>
      <w:r w:rsidR="005744CD" w:rsidRPr="005744CD">
        <w:t xml:space="preserve"> and NB-IoT.</w:t>
      </w:r>
    </w:p>
    <w:p w14:paraId="132AF150" w14:textId="0104D40D" w:rsidR="005744CD" w:rsidRDefault="005744CD" w:rsidP="00D70902">
      <w:pPr>
        <w:rPr>
          <w:b/>
          <w:bCs/>
        </w:rPr>
      </w:pPr>
      <w:r w:rsidRPr="00323D33">
        <w:rPr>
          <w:b/>
          <w:bCs/>
          <w:i/>
          <w:iCs/>
          <w:u w:val="single"/>
        </w:rPr>
        <w:t>Proposal</w:t>
      </w:r>
      <w:r w:rsidR="00DE4963">
        <w:rPr>
          <w:b/>
          <w:bCs/>
          <w:i/>
          <w:iCs/>
          <w:u w:val="single"/>
        </w:rPr>
        <w:t xml:space="preserve"> 3</w:t>
      </w:r>
      <w:r>
        <w:rPr>
          <w:b/>
          <w:bCs/>
        </w:rPr>
        <w:t xml:space="preserve">: Capture IoT-NTN capabilities separately for </w:t>
      </w:r>
      <w:proofErr w:type="spellStart"/>
      <w:r>
        <w:rPr>
          <w:b/>
          <w:bCs/>
        </w:rPr>
        <w:t>eMTC</w:t>
      </w:r>
      <w:proofErr w:type="spellEnd"/>
      <w:r>
        <w:rPr>
          <w:b/>
          <w:bCs/>
        </w:rPr>
        <w:t xml:space="preserve"> and NB-IoT</w:t>
      </w:r>
    </w:p>
    <w:p w14:paraId="7FDCBFD0" w14:textId="59576B98" w:rsidR="00EA0051" w:rsidRDefault="001E76A9" w:rsidP="00EA0051">
      <w:pPr>
        <w:pStyle w:val="Heading1"/>
        <w:numPr>
          <w:ilvl w:val="0"/>
          <w:numId w:val="1"/>
        </w:numPr>
        <w:tabs>
          <w:tab w:val="clear" w:pos="1140"/>
          <w:tab w:val="num" w:pos="720"/>
        </w:tabs>
        <w:ind w:left="720" w:hanging="720"/>
        <w:jc w:val="both"/>
      </w:pPr>
      <w:r>
        <w:t>Text pertaining to the “</w:t>
      </w:r>
      <w:r w:rsidR="00A7558E">
        <w:t>Mandatory/Optional</w:t>
      </w:r>
      <w:r>
        <w:t>”</w:t>
      </w:r>
      <w:r w:rsidR="00A7558E">
        <w:t xml:space="preserve"> </w:t>
      </w:r>
      <w:r>
        <w:t>column</w:t>
      </w:r>
    </w:p>
    <w:p w14:paraId="3BBFEDFC" w14:textId="77777777" w:rsidR="00D161D7" w:rsidRPr="007D168D" w:rsidRDefault="00470C65" w:rsidP="002F6257">
      <w:r w:rsidRPr="007D168D">
        <w:t xml:space="preserve">For the three capabilities (2-1, 2-2 and 2-3), the “Mandatory/Optional” </w:t>
      </w:r>
      <w:r w:rsidR="00111452" w:rsidRPr="007D168D">
        <w:t>column contains the following text:</w:t>
      </w:r>
    </w:p>
    <w:p w14:paraId="4448074B" w14:textId="4D199FD5" w:rsidR="00111452" w:rsidRPr="007D168D" w:rsidRDefault="00111452" w:rsidP="00D161D7">
      <w:pPr>
        <w:ind w:firstLine="720"/>
        <w:rPr>
          <w:color w:val="C00000"/>
        </w:rPr>
      </w:pPr>
      <w:r w:rsidRPr="007D168D">
        <w:rPr>
          <w:color w:val="C00000"/>
        </w:rPr>
        <w:t>“</w:t>
      </w:r>
      <w:r w:rsidR="002F6257" w:rsidRPr="007D168D">
        <w:rPr>
          <w:rFonts w:cs="Arial"/>
          <w:i/>
          <w:iCs/>
          <w:color w:val="C00000"/>
          <w:szCs w:val="18"/>
        </w:rPr>
        <w:t>For UEs supporting NB-IoT/</w:t>
      </w:r>
      <w:proofErr w:type="spellStart"/>
      <w:r w:rsidR="002F6257" w:rsidRPr="007D168D">
        <w:rPr>
          <w:rFonts w:cs="Arial"/>
          <w:i/>
          <w:iCs/>
          <w:color w:val="C00000"/>
          <w:szCs w:val="18"/>
        </w:rPr>
        <w:t>eMTC</w:t>
      </w:r>
      <w:proofErr w:type="spellEnd"/>
      <w:r w:rsidR="002F6257" w:rsidRPr="007D168D">
        <w:rPr>
          <w:rFonts w:cs="Arial"/>
          <w:i/>
          <w:iCs/>
          <w:color w:val="C00000"/>
          <w:szCs w:val="18"/>
        </w:rPr>
        <w:t xml:space="preserve"> NTN, it must indicate this FG is supported</w:t>
      </w:r>
      <w:r w:rsidRPr="007D168D">
        <w:rPr>
          <w:color w:val="C00000"/>
        </w:rPr>
        <w:t>”</w:t>
      </w:r>
    </w:p>
    <w:p w14:paraId="0509D681" w14:textId="341B86A4" w:rsidR="00D161D7" w:rsidRPr="007D168D" w:rsidRDefault="00D161D7" w:rsidP="00D161D7">
      <w:r w:rsidRPr="007D168D">
        <w:t>For 2-1, this text is anyway true, and is not adding anything new. We therefore propose that this text be removed from 2-1.</w:t>
      </w:r>
    </w:p>
    <w:p w14:paraId="1F090AEF" w14:textId="0B57D4B7" w:rsidR="00D161D7" w:rsidRPr="007D168D" w:rsidRDefault="00D161D7" w:rsidP="00D161D7">
      <w:r w:rsidRPr="007D168D">
        <w:lastRenderedPageBreak/>
        <w:t xml:space="preserve">For 2-2 and 2-3, however, </w:t>
      </w:r>
      <w:r w:rsidR="00D56416" w:rsidRPr="007D168D">
        <w:t xml:space="preserve">given that these are features dependent on the mother feature (2-1), a UE supporting 2-1 and NOT supporting 2-2 and/or 2-3 </w:t>
      </w:r>
      <w:r w:rsidR="00A52F69" w:rsidRPr="007D168D">
        <w:t xml:space="preserve">can also </w:t>
      </w:r>
      <w:r w:rsidR="007D168D" w:rsidRPr="007D168D">
        <w:t xml:space="preserve">communicate with an NTN cell. </w:t>
      </w:r>
      <w:r w:rsidR="00AD50E2">
        <w:t xml:space="preserve">Additionally, if it possible that initial NTN IOT deployments do not implement features 2-2 and 2-3, and thus there would be a lack of IODT opportunities to test these features. </w:t>
      </w:r>
      <w:r w:rsidR="007D168D" w:rsidRPr="007D168D">
        <w:t>As a result, we propose to remove the quoted text from 2-2 and 2-3.</w:t>
      </w:r>
    </w:p>
    <w:p w14:paraId="28CC8A62" w14:textId="23DDC946" w:rsidR="007D168D" w:rsidRDefault="009D4D12" w:rsidP="00D161D7">
      <w:pPr>
        <w:rPr>
          <w:rFonts w:cs="Arial"/>
          <w:b/>
          <w:bCs/>
          <w:szCs w:val="18"/>
        </w:rPr>
      </w:pPr>
      <w:r w:rsidRPr="000603B3">
        <w:rPr>
          <w:rFonts w:cs="Arial"/>
          <w:b/>
          <w:bCs/>
          <w:i/>
          <w:iCs/>
          <w:szCs w:val="18"/>
          <w:u w:val="single"/>
        </w:rPr>
        <w:t>Proposal</w:t>
      </w:r>
      <w:r w:rsidR="00DE4963">
        <w:rPr>
          <w:rFonts w:cs="Arial"/>
          <w:b/>
          <w:bCs/>
          <w:i/>
          <w:iCs/>
          <w:szCs w:val="18"/>
          <w:u w:val="single"/>
        </w:rPr>
        <w:t xml:space="preserve"> 4</w:t>
      </w:r>
      <w:r w:rsidRPr="000603B3">
        <w:rPr>
          <w:rFonts w:cs="Arial"/>
          <w:b/>
          <w:bCs/>
          <w:szCs w:val="18"/>
        </w:rPr>
        <w:t>: Remove the text “</w:t>
      </w:r>
      <w:r w:rsidRPr="000603B3">
        <w:rPr>
          <w:rFonts w:cs="Arial"/>
          <w:b/>
          <w:bCs/>
          <w:i/>
          <w:iCs/>
          <w:color w:val="C00000"/>
          <w:szCs w:val="18"/>
        </w:rPr>
        <w:t>For UEs supporting NB-IoT/</w:t>
      </w:r>
      <w:proofErr w:type="spellStart"/>
      <w:r w:rsidRPr="000603B3">
        <w:rPr>
          <w:rFonts w:cs="Arial"/>
          <w:b/>
          <w:bCs/>
          <w:i/>
          <w:iCs/>
          <w:color w:val="C00000"/>
          <w:szCs w:val="18"/>
        </w:rPr>
        <w:t>eMTC</w:t>
      </w:r>
      <w:proofErr w:type="spellEnd"/>
      <w:r w:rsidRPr="000603B3">
        <w:rPr>
          <w:rFonts w:cs="Arial"/>
          <w:b/>
          <w:bCs/>
          <w:i/>
          <w:iCs/>
          <w:color w:val="C00000"/>
          <w:szCs w:val="18"/>
        </w:rPr>
        <w:t xml:space="preserve"> NTN, it must indicate this FG is supported</w:t>
      </w:r>
      <w:r w:rsidRPr="000603B3">
        <w:rPr>
          <w:rFonts w:cs="Arial"/>
          <w:b/>
          <w:bCs/>
          <w:szCs w:val="18"/>
        </w:rPr>
        <w:t xml:space="preserve">” </w:t>
      </w:r>
      <w:r w:rsidR="005504F9" w:rsidRPr="000603B3">
        <w:rPr>
          <w:rFonts w:cs="Arial"/>
          <w:b/>
          <w:bCs/>
          <w:szCs w:val="18"/>
        </w:rPr>
        <w:t xml:space="preserve">from the “Mandatory/Optional” column for </w:t>
      </w:r>
      <w:r w:rsidR="000603B3" w:rsidRPr="000603B3">
        <w:rPr>
          <w:rFonts w:cs="Arial"/>
          <w:b/>
          <w:bCs/>
          <w:szCs w:val="18"/>
        </w:rPr>
        <w:t>FG 2-1, 2-2 and 2-3.</w:t>
      </w:r>
    </w:p>
    <w:p w14:paraId="5F34605D" w14:textId="77777777" w:rsidR="00790093" w:rsidRDefault="00790093" w:rsidP="00790093">
      <w:pPr>
        <w:pStyle w:val="Heading1"/>
        <w:numPr>
          <w:ilvl w:val="0"/>
          <w:numId w:val="1"/>
        </w:numPr>
        <w:tabs>
          <w:tab w:val="clear" w:pos="1140"/>
          <w:tab w:val="num" w:pos="720"/>
        </w:tabs>
        <w:ind w:left="720" w:hanging="720"/>
        <w:jc w:val="both"/>
      </w:pPr>
      <w:r>
        <w:t>Applicability of Terrestrial Network (TN) features to NTN</w:t>
      </w:r>
    </w:p>
    <w:p w14:paraId="29E7B466" w14:textId="095D6C12" w:rsidR="00E179BC" w:rsidRDefault="001C2D93" w:rsidP="00E31BC4">
      <w:r>
        <w:t xml:space="preserve">RAN1 should </w:t>
      </w:r>
      <w:r w:rsidR="00B25FEE">
        <w:t xml:space="preserve">discuss how to determine the applicability of all terrestrial network (TN) features up to Rel16 </w:t>
      </w:r>
      <w:r w:rsidR="00CB3036">
        <w:t xml:space="preserve">for the case of NTN. </w:t>
      </w:r>
      <w:r w:rsidR="001949C4">
        <w:t xml:space="preserve">This </w:t>
      </w:r>
      <w:r w:rsidR="008C336F">
        <w:t>may</w:t>
      </w:r>
      <w:r w:rsidR="001949C4">
        <w:t xml:space="preserve"> </w:t>
      </w:r>
      <w:r w:rsidR="009B2ADD">
        <w:t>involve</w:t>
      </w:r>
      <w:r w:rsidR="001949C4">
        <w:t xml:space="preserve"> a </w:t>
      </w:r>
      <w:r w:rsidR="002D40A4">
        <w:t>feature-by-feature</w:t>
      </w:r>
      <w:r w:rsidR="001949C4">
        <w:t xml:space="preserve"> determination of applicability</w:t>
      </w:r>
      <w:r w:rsidR="004925DF">
        <w:t xml:space="preserve"> to NTNs </w:t>
      </w:r>
      <w:r w:rsidR="001949C4">
        <w:t xml:space="preserve">from the </w:t>
      </w:r>
      <w:r w:rsidR="004925DF">
        <w:t xml:space="preserve">(legacy) </w:t>
      </w:r>
      <w:r w:rsidR="001949C4">
        <w:t>feature list for TNs</w:t>
      </w:r>
      <w:r w:rsidR="004925DF">
        <w:t xml:space="preserve"> up to Rel16.</w:t>
      </w:r>
      <w:r w:rsidR="009B2ADD">
        <w:t xml:space="preserve"> A default assumption on applicability may be made, which </w:t>
      </w:r>
      <w:r w:rsidR="00735119">
        <w:t>may then be overridden on a case-by-case basis, as appropriate.</w:t>
      </w:r>
    </w:p>
    <w:p w14:paraId="02FC8CE6" w14:textId="43F447FB" w:rsidR="004925DF" w:rsidRDefault="004925DF" w:rsidP="00E31BC4">
      <w:pPr>
        <w:rPr>
          <w:b/>
          <w:bCs/>
        </w:rPr>
      </w:pPr>
      <w:r w:rsidRPr="007425C0">
        <w:rPr>
          <w:b/>
          <w:bCs/>
          <w:i/>
          <w:iCs/>
          <w:u w:val="single"/>
        </w:rPr>
        <w:t>Proposal</w:t>
      </w:r>
      <w:r w:rsidR="00DE4963">
        <w:rPr>
          <w:b/>
          <w:bCs/>
          <w:i/>
          <w:iCs/>
          <w:u w:val="single"/>
        </w:rPr>
        <w:t xml:space="preserve"> 5</w:t>
      </w:r>
      <w:r w:rsidRPr="00043456">
        <w:rPr>
          <w:b/>
          <w:bCs/>
        </w:rPr>
        <w:t>: RAN1 to discuss the determination of applicability</w:t>
      </w:r>
      <w:r w:rsidR="005E3C63" w:rsidRPr="00043456">
        <w:rPr>
          <w:b/>
          <w:bCs/>
        </w:rPr>
        <w:t xml:space="preserve"> of Terrestrial Network</w:t>
      </w:r>
      <w:r w:rsidR="003B4796">
        <w:rPr>
          <w:b/>
          <w:bCs/>
        </w:rPr>
        <w:t xml:space="preserve"> (TN)</w:t>
      </w:r>
      <w:r w:rsidR="005E3C63" w:rsidRPr="00043456">
        <w:rPr>
          <w:b/>
          <w:bCs/>
        </w:rPr>
        <w:t xml:space="preserve"> features up to Release 16 to IoT-NTN in Release 17.</w:t>
      </w:r>
    </w:p>
    <w:p w14:paraId="46141F2D" w14:textId="438814F8" w:rsidR="00735119" w:rsidRDefault="00735119" w:rsidP="00735119">
      <w:pPr>
        <w:pStyle w:val="ListParagraph"/>
        <w:numPr>
          <w:ilvl w:val="0"/>
          <w:numId w:val="44"/>
        </w:numPr>
        <w:rPr>
          <w:b/>
          <w:bCs/>
        </w:rPr>
      </w:pPr>
      <w:r>
        <w:rPr>
          <w:b/>
          <w:bCs/>
        </w:rPr>
        <w:t xml:space="preserve">A default assumption may </w:t>
      </w:r>
      <w:r w:rsidR="006A4AFA">
        <w:rPr>
          <w:b/>
          <w:bCs/>
        </w:rPr>
        <w:t xml:space="preserve">be </w:t>
      </w:r>
      <w:r w:rsidR="007F635A">
        <w:rPr>
          <w:b/>
          <w:bCs/>
        </w:rPr>
        <w:t>that</w:t>
      </w:r>
      <w:r>
        <w:rPr>
          <w:b/>
          <w:bCs/>
        </w:rPr>
        <w:t xml:space="preserve"> </w:t>
      </w:r>
      <w:r w:rsidR="002D40A4">
        <w:rPr>
          <w:b/>
          <w:bCs/>
        </w:rPr>
        <w:t xml:space="preserve">a </w:t>
      </w:r>
      <w:r>
        <w:rPr>
          <w:b/>
          <w:bCs/>
        </w:rPr>
        <w:t xml:space="preserve">legacy </w:t>
      </w:r>
      <w:r w:rsidR="003B4796">
        <w:rPr>
          <w:b/>
          <w:bCs/>
        </w:rPr>
        <w:t xml:space="preserve">IoT </w:t>
      </w:r>
      <w:r>
        <w:rPr>
          <w:b/>
          <w:bCs/>
        </w:rPr>
        <w:t xml:space="preserve">TN feature </w:t>
      </w:r>
      <w:r w:rsidR="002D40A4">
        <w:rPr>
          <w:b/>
          <w:bCs/>
        </w:rPr>
        <w:t>is</w:t>
      </w:r>
      <w:r w:rsidR="007F635A">
        <w:rPr>
          <w:b/>
          <w:bCs/>
        </w:rPr>
        <w:t xml:space="preserve"> </w:t>
      </w:r>
      <w:r w:rsidR="00AD50E2">
        <w:rPr>
          <w:b/>
          <w:bCs/>
        </w:rPr>
        <w:t>applicable for</w:t>
      </w:r>
      <w:r w:rsidR="007F635A">
        <w:rPr>
          <w:b/>
          <w:bCs/>
        </w:rPr>
        <w:t xml:space="preserve"> </w:t>
      </w:r>
      <w:r w:rsidR="003B4796">
        <w:rPr>
          <w:b/>
          <w:bCs/>
        </w:rPr>
        <w:t>IoT-</w:t>
      </w:r>
      <w:r w:rsidR="007F635A">
        <w:rPr>
          <w:b/>
          <w:bCs/>
        </w:rPr>
        <w:t xml:space="preserve">NTN, </w:t>
      </w:r>
      <w:r w:rsidR="003B4796">
        <w:rPr>
          <w:b/>
          <w:bCs/>
        </w:rPr>
        <w:t>unless it</w:t>
      </w:r>
      <w:r w:rsidR="002D40A4">
        <w:rPr>
          <w:b/>
          <w:bCs/>
        </w:rPr>
        <w:t xml:space="preserve"> </w:t>
      </w:r>
      <w:r w:rsidR="006A4AFA">
        <w:rPr>
          <w:b/>
          <w:bCs/>
        </w:rPr>
        <w:t xml:space="preserve">is </w:t>
      </w:r>
      <w:r w:rsidR="008B632A">
        <w:rPr>
          <w:b/>
          <w:bCs/>
        </w:rPr>
        <w:t xml:space="preserve">explicitly </w:t>
      </w:r>
      <w:r w:rsidR="006A4AFA">
        <w:rPr>
          <w:b/>
          <w:bCs/>
        </w:rPr>
        <w:t xml:space="preserve">demonstrated that it </w:t>
      </w:r>
      <w:r w:rsidR="002D40A4">
        <w:rPr>
          <w:b/>
          <w:bCs/>
        </w:rPr>
        <w:t xml:space="preserve">cannot be supported/is not applicable to </w:t>
      </w:r>
      <w:r w:rsidR="003B4796">
        <w:rPr>
          <w:b/>
          <w:bCs/>
        </w:rPr>
        <w:t>IoT-</w:t>
      </w:r>
      <w:r w:rsidR="002D40A4">
        <w:rPr>
          <w:b/>
          <w:bCs/>
        </w:rPr>
        <w:t>NTN.</w:t>
      </w:r>
    </w:p>
    <w:p w14:paraId="361950D4" w14:textId="16C18510" w:rsidR="00AD50E2" w:rsidRPr="00735119" w:rsidRDefault="00AD50E2" w:rsidP="00735119">
      <w:pPr>
        <w:pStyle w:val="ListParagraph"/>
        <w:numPr>
          <w:ilvl w:val="0"/>
          <w:numId w:val="44"/>
        </w:numPr>
        <w:rPr>
          <w:b/>
          <w:bCs/>
        </w:rPr>
      </w:pPr>
      <w:r>
        <w:rPr>
          <w:b/>
          <w:bCs/>
        </w:rPr>
        <w:t>For the features that are applicable to IOT-NTN, a new capability indication (separate from the TN one) is introduced.</w:t>
      </w: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62880045" w14:textId="7DDFE06E" w:rsidR="003E3336" w:rsidRDefault="00BC3A60" w:rsidP="00757E09">
      <w:r>
        <w:t>We summarize our proposals below.</w:t>
      </w:r>
    </w:p>
    <w:p w14:paraId="10FC38BB" w14:textId="77777777" w:rsidR="005A3335" w:rsidRPr="00BC2C76" w:rsidRDefault="005A3335" w:rsidP="005A3335">
      <w:pPr>
        <w:rPr>
          <w:b/>
          <w:bCs/>
          <w:i/>
          <w:iCs/>
        </w:rPr>
      </w:pPr>
      <w:r w:rsidRPr="003B2AA9">
        <w:rPr>
          <w:b/>
          <w:bCs/>
          <w:i/>
          <w:iCs/>
          <w:u w:val="single"/>
          <w:lang w:eastAsia="ko-KR"/>
        </w:rPr>
        <w:t>Proposal</w:t>
      </w:r>
      <w:r>
        <w:rPr>
          <w:b/>
          <w:bCs/>
          <w:i/>
          <w:iCs/>
          <w:u w:val="single"/>
          <w:lang w:eastAsia="ko-KR"/>
        </w:rPr>
        <w:t xml:space="preserve"> 1</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37191ED3" w14:textId="77777777" w:rsidR="005A3335" w:rsidRPr="00821964" w:rsidRDefault="005A3335" w:rsidP="005A3335">
      <w:pPr>
        <w:rPr>
          <w:b/>
          <w:bCs/>
        </w:rPr>
      </w:pPr>
      <w:r w:rsidRPr="00821964">
        <w:rPr>
          <w:b/>
          <w:bCs/>
          <w:i/>
          <w:iCs/>
          <w:u w:val="single"/>
        </w:rPr>
        <w:t>Proposal</w:t>
      </w:r>
      <w:r>
        <w:rPr>
          <w:b/>
          <w:bCs/>
          <w:i/>
          <w:iCs/>
          <w:u w:val="single"/>
        </w:rPr>
        <w:t xml:space="preserve"> 2</w:t>
      </w:r>
      <w:r w:rsidRPr="00821964">
        <w:rPr>
          <w:b/>
          <w:bCs/>
        </w:rPr>
        <w:t>: A UE’s support of NTN should be a “per band” capability.</w:t>
      </w:r>
    </w:p>
    <w:p w14:paraId="59C043AA" w14:textId="77777777" w:rsidR="005A3335" w:rsidRDefault="005A3335" w:rsidP="005A3335">
      <w:pPr>
        <w:rPr>
          <w:b/>
          <w:bCs/>
        </w:rPr>
      </w:pPr>
      <w:r w:rsidRPr="00323D33">
        <w:rPr>
          <w:b/>
          <w:bCs/>
          <w:i/>
          <w:iCs/>
          <w:u w:val="single"/>
        </w:rPr>
        <w:t>Proposal</w:t>
      </w:r>
      <w:r>
        <w:rPr>
          <w:b/>
          <w:bCs/>
          <w:i/>
          <w:iCs/>
          <w:u w:val="single"/>
        </w:rPr>
        <w:t xml:space="preserve"> 3</w:t>
      </w:r>
      <w:r>
        <w:rPr>
          <w:b/>
          <w:bCs/>
        </w:rPr>
        <w:t xml:space="preserve">: Capture IoT-NTN capabilities separately for </w:t>
      </w:r>
      <w:proofErr w:type="spellStart"/>
      <w:r>
        <w:rPr>
          <w:b/>
          <w:bCs/>
        </w:rPr>
        <w:t>eMTC</w:t>
      </w:r>
      <w:proofErr w:type="spellEnd"/>
      <w:r>
        <w:rPr>
          <w:b/>
          <w:bCs/>
        </w:rPr>
        <w:t xml:space="preserve"> and NB-IoT</w:t>
      </w:r>
    </w:p>
    <w:p w14:paraId="3FF0C7BF" w14:textId="77777777" w:rsidR="005A3335" w:rsidRDefault="005A3335" w:rsidP="005A3335">
      <w:pPr>
        <w:rPr>
          <w:rFonts w:cs="Arial"/>
          <w:b/>
          <w:bCs/>
          <w:szCs w:val="18"/>
        </w:rPr>
      </w:pPr>
      <w:r w:rsidRPr="000603B3">
        <w:rPr>
          <w:rFonts w:cs="Arial"/>
          <w:b/>
          <w:bCs/>
          <w:i/>
          <w:iCs/>
          <w:szCs w:val="18"/>
          <w:u w:val="single"/>
        </w:rPr>
        <w:t>Proposal</w:t>
      </w:r>
      <w:r>
        <w:rPr>
          <w:rFonts w:cs="Arial"/>
          <w:b/>
          <w:bCs/>
          <w:i/>
          <w:iCs/>
          <w:szCs w:val="18"/>
          <w:u w:val="single"/>
        </w:rPr>
        <w:t xml:space="preserve"> 4</w:t>
      </w:r>
      <w:r w:rsidRPr="000603B3">
        <w:rPr>
          <w:rFonts w:cs="Arial"/>
          <w:b/>
          <w:bCs/>
          <w:szCs w:val="18"/>
        </w:rPr>
        <w:t>: Remove the text “</w:t>
      </w:r>
      <w:r w:rsidRPr="000603B3">
        <w:rPr>
          <w:rFonts w:cs="Arial"/>
          <w:b/>
          <w:bCs/>
          <w:i/>
          <w:iCs/>
          <w:color w:val="C00000"/>
          <w:szCs w:val="18"/>
        </w:rPr>
        <w:t>For UEs supporting NB-IoT/</w:t>
      </w:r>
      <w:proofErr w:type="spellStart"/>
      <w:r w:rsidRPr="000603B3">
        <w:rPr>
          <w:rFonts w:cs="Arial"/>
          <w:b/>
          <w:bCs/>
          <w:i/>
          <w:iCs/>
          <w:color w:val="C00000"/>
          <w:szCs w:val="18"/>
        </w:rPr>
        <w:t>eMTC</w:t>
      </w:r>
      <w:proofErr w:type="spellEnd"/>
      <w:r w:rsidRPr="000603B3">
        <w:rPr>
          <w:rFonts w:cs="Arial"/>
          <w:b/>
          <w:bCs/>
          <w:i/>
          <w:iCs/>
          <w:color w:val="C00000"/>
          <w:szCs w:val="18"/>
        </w:rPr>
        <w:t xml:space="preserve"> NTN, it must indicate this FG is supported</w:t>
      </w:r>
      <w:r w:rsidRPr="000603B3">
        <w:rPr>
          <w:rFonts w:cs="Arial"/>
          <w:b/>
          <w:bCs/>
          <w:szCs w:val="18"/>
        </w:rPr>
        <w:t>” from the “Mandatory/Optional” column for FG 2-1, 2-2 and 2-3.</w:t>
      </w:r>
    </w:p>
    <w:p w14:paraId="21594857" w14:textId="77777777" w:rsidR="00042084" w:rsidRDefault="00042084" w:rsidP="00042084">
      <w:pPr>
        <w:rPr>
          <w:b/>
          <w:bCs/>
        </w:rPr>
      </w:pPr>
      <w:r w:rsidRPr="007425C0">
        <w:rPr>
          <w:b/>
          <w:bCs/>
          <w:i/>
          <w:iCs/>
          <w:u w:val="single"/>
        </w:rPr>
        <w:t>Proposal</w:t>
      </w:r>
      <w:r>
        <w:rPr>
          <w:b/>
          <w:bCs/>
          <w:i/>
          <w:iCs/>
          <w:u w:val="single"/>
        </w:rPr>
        <w:t xml:space="preserve"> 5</w:t>
      </w:r>
      <w:r w:rsidRPr="00043456">
        <w:rPr>
          <w:b/>
          <w:bCs/>
        </w:rPr>
        <w:t>: RAN1 to discuss the determination of applicability of Terrestrial Network</w:t>
      </w:r>
      <w:r>
        <w:rPr>
          <w:b/>
          <w:bCs/>
        </w:rPr>
        <w:t xml:space="preserve"> (TN)</w:t>
      </w:r>
      <w:r w:rsidRPr="00043456">
        <w:rPr>
          <w:b/>
          <w:bCs/>
        </w:rPr>
        <w:t xml:space="preserve"> features up to Release 16 to IoT-NTN in Release 17.</w:t>
      </w:r>
    </w:p>
    <w:p w14:paraId="7938FBB5" w14:textId="77777777" w:rsidR="00042084" w:rsidRDefault="00042084" w:rsidP="00042084">
      <w:pPr>
        <w:pStyle w:val="ListParagraph"/>
        <w:numPr>
          <w:ilvl w:val="0"/>
          <w:numId w:val="44"/>
        </w:numPr>
        <w:rPr>
          <w:b/>
          <w:bCs/>
        </w:rPr>
      </w:pPr>
      <w:r>
        <w:rPr>
          <w:b/>
          <w:bCs/>
        </w:rPr>
        <w:t>A default assumption may be that a legacy IoT TN feature is applicable for IoT-NTN, unless it is explicitly demonstrated that it cannot be supported/is not applicable to IoT-NTN.</w:t>
      </w:r>
    </w:p>
    <w:p w14:paraId="10B1D31A" w14:textId="4B8405DC" w:rsidR="005A3335" w:rsidRPr="00042084" w:rsidRDefault="00042084" w:rsidP="00042084">
      <w:pPr>
        <w:pStyle w:val="ListParagraph"/>
        <w:numPr>
          <w:ilvl w:val="0"/>
          <w:numId w:val="44"/>
        </w:numPr>
        <w:rPr>
          <w:b/>
          <w:bCs/>
        </w:rPr>
      </w:pPr>
      <w:r>
        <w:rPr>
          <w:b/>
          <w:bCs/>
        </w:rPr>
        <w:t>For the features that are applicable to IOT-NTN, a new capability indication (separate from the TN one) is introduced.</w:t>
      </w:r>
    </w:p>
    <w:sectPr w:rsidR="005A3335" w:rsidRPr="00042084" w:rsidSect="00366A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06F7" w14:textId="77777777" w:rsidR="005A74A0" w:rsidRDefault="005A74A0">
      <w:pPr>
        <w:spacing w:after="0"/>
      </w:pPr>
      <w:r>
        <w:separator/>
      </w:r>
    </w:p>
  </w:endnote>
  <w:endnote w:type="continuationSeparator" w:id="0">
    <w:p w14:paraId="7F454B1D" w14:textId="77777777" w:rsidR="005A74A0" w:rsidRDefault="005A74A0">
      <w:pPr>
        <w:spacing w:after="0"/>
      </w:pPr>
      <w:r>
        <w:continuationSeparator/>
      </w:r>
    </w:p>
  </w:endnote>
  <w:endnote w:type="continuationNotice" w:id="1">
    <w:p w14:paraId="0B7B7FCC" w14:textId="77777777" w:rsidR="005A74A0" w:rsidRDefault="005A7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6FEE" w14:textId="77777777" w:rsidR="005A74A0" w:rsidRDefault="005A74A0">
      <w:pPr>
        <w:spacing w:after="0"/>
      </w:pPr>
      <w:r>
        <w:separator/>
      </w:r>
    </w:p>
  </w:footnote>
  <w:footnote w:type="continuationSeparator" w:id="0">
    <w:p w14:paraId="1D715071" w14:textId="77777777" w:rsidR="005A74A0" w:rsidRDefault="005A74A0">
      <w:pPr>
        <w:spacing w:after="0"/>
      </w:pPr>
      <w:r>
        <w:continuationSeparator/>
      </w:r>
    </w:p>
  </w:footnote>
  <w:footnote w:type="continuationNotice" w:id="1">
    <w:p w14:paraId="531DBE03" w14:textId="77777777" w:rsidR="005A74A0" w:rsidRDefault="005A7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314A44"/>
    <w:multiLevelType w:val="hybridMultilevel"/>
    <w:tmpl w:val="1BFC0B26"/>
    <w:lvl w:ilvl="0" w:tplc="93D2524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75FB"/>
    <w:multiLevelType w:val="hybridMultilevel"/>
    <w:tmpl w:val="9FAE7886"/>
    <w:lvl w:ilvl="0" w:tplc="9502E7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32C70"/>
    <w:multiLevelType w:val="hybridMultilevel"/>
    <w:tmpl w:val="567A1C8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1"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25"/>
  </w:num>
  <w:num w:numId="4">
    <w:abstractNumId w:val="34"/>
  </w:num>
  <w:num w:numId="5">
    <w:abstractNumId w:val="20"/>
  </w:num>
  <w:num w:numId="6">
    <w:abstractNumId w:val="38"/>
  </w:num>
  <w:num w:numId="7">
    <w:abstractNumId w:val="40"/>
  </w:num>
  <w:num w:numId="8">
    <w:abstractNumId w:val="12"/>
  </w:num>
  <w:num w:numId="9">
    <w:abstractNumId w:val="42"/>
  </w:num>
  <w:num w:numId="10">
    <w:abstractNumId w:val="23"/>
  </w:num>
  <w:num w:numId="11">
    <w:abstractNumId w:val="9"/>
  </w:num>
  <w:num w:numId="12">
    <w:abstractNumId w:val="3"/>
  </w:num>
  <w:num w:numId="13">
    <w:abstractNumId w:val="44"/>
  </w:num>
  <w:num w:numId="14">
    <w:abstractNumId w:val="19"/>
  </w:num>
  <w:num w:numId="15">
    <w:abstractNumId w:val="10"/>
  </w:num>
  <w:num w:numId="16">
    <w:abstractNumId w:val="4"/>
  </w:num>
  <w:num w:numId="17">
    <w:abstractNumId w:val="13"/>
  </w:num>
  <w:num w:numId="18">
    <w:abstractNumId w:val="37"/>
  </w:num>
  <w:num w:numId="19">
    <w:abstractNumId w:val="24"/>
  </w:num>
  <w:num w:numId="20">
    <w:abstractNumId w:val="18"/>
  </w:num>
  <w:num w:numId="21">
    <w:abstractNumId w:val="22"/>
  </w:num>
  <w:num w:numId="22">
    <w:abstractNumId w:val="8"/>
  </w:num>
  <w:num w:numId="23">
    <w:abstractNumId w:val="41"/>
  </w:num>
  <w:num w:numId="24">
    <w:abstractNumId w:val="11"/>
  </w:num>
  <w:num w:numId="25">
    <w:abstractNumId w:val="43"/>
  </w:num>
  <w:num w:numId="26">
    <w:abstractNumId w:val="30"/>
  </w:num>
  <w:num w:numId="27">
    <w:abstractNumId w:val="7"/>
  </w:num>
  <w:num w:numId="28">
    <w:abstractNumId w:val="28"/>
  </w:num>
  <w:num w:numId="29">
    <w:abstractNumId w:val="32"/>
  </w:num>
  <w:num w:numId="30">
    <w:abstractNumId w:val="39"/>
  </w:num>
  <w:num w:numId="31">
    <w:abstractNumId w:val="16"/>
  </w:num>
  <w:num w:numId="32">
    <w:abstractNumId w:val="15"/>
  </w:num>
  <w:num w:numId="33">
    <w:abstractNumId w:val="1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5"/>
  </w:num>
  <w:num w:numId="44">
    <w:abstractNumId w:val="1"/>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24CF"/>
    <w:rsid w:val="00005C95"/>
    <w:rsid w:val="00005F51"/>
    <w:rsid w:val="0000789C"/>
    <w:rsid w:val="00013B5C"/>
    <w:rsid w:val="0002016E"/>
    <w:rsid w:val="00022216"/>
    <w:rsid w:val="000236C6"/>
    <w:rsid w:val="000273BD"/>
    <w:rsid w:val="000345F6"/>
    <w:rsid w:val="000369C3"/>
    <w:rsid w:val="00036B14"/>
    <w:rsid w:val="00037582"/>
    <w:rsid w:val="00037919"/>
    <w:rsid w:val="0004041F"/>
    <w:rsid w:val="00042084"/>
    <w:rsid w:val="00042869"/>
    <w:rsid w:val="00042BED"/>
    <w:rsid w:val="00043456"/>
    <w:rsid w:val="000458D8"/>
    <w:rsid w:val="00045BDF"/>
    <w:rsid w:val="00045EFB"/>
    <w:rsid w:val="00046020"/>
    <w:rsid w:val="000500F7"/>
    <w:rsid w:val="00054E5C"/>
    <w:rsid w:val="000603B3"/>
    <w:rsid w:val="00063D75"/>
    <w:rsid w:val="00063DAE"/>
    <w:rsid w:val="00064278"/>
    <w:rsid w:val="000707F2"/>
    <w:rsid w:val="0007530E"/>
    <w:rsid w:val="00081CDD"/>
    <w:rsid w:val="0008247D"/>
    <w:rsid w:val="00085FF9"/>
    <w:rsid w:val="000877DA"/>
    <w:rsid w:val="00087D07"/>
    <w:rsid w:val="00091116"/>
    <w:rsid w:val="00097E6B"/>
    <w:rsid w:val="000B1990"/>
    <w:rsid w:val="000C6FD1"/>
    <w:rsid w:val="000D23CF"/>
    <w:rsid w:val="000D4151"/>
    <w:rsid w:val="000E1342"/>
    <w:rsid w:val="000E330D"/>
    <w:rsid w:val="000E7606"/>
    <w:rsid w:val="000E792E"/>
    <w:rsid w:val="000F32B6"/>
    <w:rsid w:val="000F70C7"/>
    <w:rsid w:val="000F7431"/>
    <w:rsid w:val="0010253A"/>
    <w:rsid w:val="001030EF"/>
    <w:rsid w:val="00111452"/>
    <w:rsid w:val="00114D8E"/>
    <w:rsid w:val="00116377"/>
    <w:rsid w:val="001172E8"/>
    <w:rsid w:val="00122D19"/>
    <w:rsid w:val="001232EC"/>
    <w:rsid w:val="00124E5D"/>
    <w:rsid w:val="00125DAC"/>
    <w:rsid w:val="0013602A"/>
    <w:rsid w:val="001369AD"/>
    <w:rsid w:val="0014302F"/>
    <w:rsid w:val="00144F61"/>
    <w:rsid w:val="00146E52"/>
    <w:rsid w:val="001536B5"/>
    <w:rsid w:val="00154C05"/>
    <w:rsid w:val="0015697F"/>
    <w:rsid w:val="0015790E"/>
    <w:rsid w:val="001624E9"/>
    <w:rsid w:val="00166645"/>
    <w:rsid w:val="00172DAC"/>
    <w:rsid w:val="001745C2"/>
    <w:rsid w:val="001839D7"/>
    <w:rsid w:val="00190E24"/>
    <w:rsid w:val="001949C4"/>
    <w:rsid w:val="001A1E09"/>
    <w:rsid w:val="001A452F"/>
    <w:rsid w:val="001A703B"/>
    <w:rsid w:val="001B0C3D"/>
    <w:rsid w:val="001B159B"/>
    <w:rsid w:val="001B1620"/>
    <w:rsid w:val="001B1B3A"/>
    <w:rsid w:val="001B1EC7"/>
    <w:rsid w:val="001B2123"/>
    <w:rsid w:val="001B2E20"/>
    <w:rsid w:val="001B36F8"/>
    <w:rsid w:val="001B624B"/>
    <w:rsid w:val="001C099B"/>
    <w:rsid w:val="001C2D93"/>
    <w:rsid w:val="001C3BBA"/>
    <w:rsid w:val="001C6F21"/>
    <w:rsid w:val="001C7BC2"/>
    <w:rsid w:val="001D0240"/>
    <w:rsid w:val="001D051F"/>
    <w:rsid w:val="001D0759"/>
    <w:rsid w:val="001D3811"/>
    <w:rsid w:val="001D4728"/>
    <w:rsid w:val="001D63C1"/>
    <w:rsid w:val="001E008E"/>
    <w:rsid w:val="001E0B5B"/>
    <w:rsid w:val="001E1134"/>
    <w:rsid w:val="001E76A9"/>
    <w:rsid w:val="001F70E2"/>
    <w:rsid w:val="00205F8E"/>
    <w:rsid w:val="00207541"/>
    <w:rsid w:val="00207596"/>
    <w:rsid w:val="002162F8"/>
    <w:rsid w:val="002217B4"/>
    <w:rsid w:val="00230057"/>
    <w:rsid w:val="00241706"/>
    <w:rsid w:val="002424FF"/>
    <w:rsid w:val="00244F6A"/>
    <w:rsid w:val="00245257"/>
    <w:rsid w:val="002500D0"/>
    <w:rsid w:val="0025012E"/>
    <w:rsid w:val="00255F0A"/>
    <w:rsid w:val="00256BFC"/>
    <w:rsid w:val="002576F2"/>
    <w:rsid w:val="00260902"/>
    <w:rsid w:val="00260FB4"/>
    <w:rsid w:val="00262FFA"/>
    <w:rsid w:val="00264BDF"/>
    <w:rsid w:val="00266E71"/>
    <w:rsid w:val="002742EE"/>
    <w:rsid w:val="002804CE"/>
    <w:rsid w:val="00283532"/>
    <w:rsid w:val="00283707"/>
    <w:rsid w:val="002845A7"/>
    <w:rsid w:val="00287B8D"/>
    <w:rsid w:val="002902B9"/>
    <w:rsid w:val="00291786"/>
    <w:rsid w:val="00293348"/>
    <w:rsid w:val="0029388D"/>
    <w:rsid w:val="0029478C"/>
    <w:rsid w:val="00296171"/>
    <w:rsid w:val="002A30DB"/>
    <w:rsid w:val="002A5D6B"/>
    <w:rsid w:val="002B037E"/>
    <w:rsid w:val="002B2E77"/>
    <w:rsid w:val="002B3546"/>
    <w:rsid w:val="002B57F0"/>
    <w:rsid w:val="002B6729"/>
    <w:rsid w:val="002C343D"/>
    <w:rsid w:val="002C481C"/>
    <w:rsid w:val="002D0EEA"/>
    <w:rsid w:val="002D20C0"/>
    <w:rsid w:val="002D40A4"/>
    <w:rsid w:val="002D43BB"/>
    <w:rsid w:val="002D6DA9"/>
    <w:rsid w:val="002D79FA"/>
    <w:rsid w:val="002E0ABA"/>
    <w:rsid w:val="002E3A79"/>
    <w:rsid w:val="002F6257"/>
    <w:rsid w:val="002F64B5"/>
    <w:rsid w:val="003009A5"/>
    <w:rsid w:val="00314B41"/>
    <w:rsid w:val="00315EF0"/>
    <w:rsid w:val="003214D1"/>
    <w:rsid w:val="003216E0"/>
    <w:rsid w:val="00321A89"/>
    <w:rsid w:val="00323D33"/>
    <w:rsid w:val="00331346"/>
    <w:rsid w:val="00332949"/>
    <w:rsid w:val="003362EB"/>
    <w:rsid w:val="0033638B"/>
    <w:rsid w:val="00340BCE"/>
    <w:rsid w:val="00340D26"/>
    <w:rsid w:val="0034289C"/>
    <w:rsid w:val="00343629"/>
    <w:rsid w:val="00350063"/>
    <w:rsid w:val="0035424A"/>
    <w:rsid w:val="00355044"/>
    <w:rsid w:val="00355ABE"/>
    <w:rsid w:val="00362F3B"/>
    <w:rsid w:val="00363577"/>
    <w:rsid w:val="00366AB8"/>
    <w:rsid w:val="00382105"/>
    <w:rsid w:val="0038329C"/>
    <w:rsid w:val="00386F50"/>
    <w:rsid w:val="00387099"/>
    <w:rsid w:val="003907A8"/>
    <w:rsid w:val="0039464A"/>
    <w:rsid w:val="0039588C"/>
    <w:rsid w:val="0039738E"/>
    <w:rsid w:val="003A012C"/>
    <w:rsid w:val="003A0390"/>
    <w:rsid w:val="003B0F05"/>
    <w:rsid w:val="003B2922"/>
    <w:rsid w:val="003B4796"/>
    <w:rsid w:val="003C0419"/>
    <w:rsid w:val="003C0B13"/>
    <w:rsid w:val="003C2830"/>
    <w:rsid w:val="003C5BD8"/>
    <w:rsid w:val="003C7506"/>
    <w:rsid w:val="003D3F92"/>
    <w:rsid w:val="003E3336"/>
    <w:rsid w:val="003E3D8D"/>
    <w:rsid w:val="003E4EB7"/>
    <w:rsid w:val="003E53E6"/>
    <w:rsid w:val="003E6133"/>
    <w:rsid w:val="003E75F5"/>
    <w:rsid w:val="003F1061"/>
    <w:rsid w:val="003F14E0"/>
    <w:rsid w:val="003F60AF"/>
    <w:rsid w:val="00400A2E"/>
    <w:rsid w:val="00403D87"/>
    <w:rsid w:val="00404129"/>
    <w:rsid w:val="0040494C"/>
    <w:rsid w:val="004052F4"/>
    <w:rsid w:val="004054D3"/>
    <w:rsid w:val="00410A8D"/>
    <w:rsid w:val="004142B0"/>
    <w:rsid w:val="0041454F"/>
    <w:rsid w:val="004147F2"/>
    <w:rsid w:val="0041506D"/>
    <w:rsid w:val="00417D60"/>
    <w:rsid w:val="00421B57"/>
    <w:rsid w:val="00422609"/>
    <w:rsid w:val="00423CEA"/>
    <w:rsid w:val="00424F16"/>
    <w:rsid w:val="00426EA5"/>
    <w:rsid w:val="00427E2F"/>
    <w:rsid w:val="00431380"/>
    <w:rsid w:val="00436176"/>
    <w:rsid w:val="00436D42"/>
    <w:rsid w:val="00440303"/>
    <w:rsid w:val="00442B3E"/>
    <w:rsid w:val="004456A9"/>
    <w:rsid w:val="00446569"/>
    <w:rsid w:val="004504C9"/>
    <w:rsid w:val="004523F4"/>
    <w:rsid w:val="00456A24"/>
    <w:rsid w:val="00457C6E"/>
    <w:rsid w:val="00461019"/>
    <w:rsid w:val="0046275D"/>
    <w:rsid w:val="00464CA3"/>
    <w:rsid w:val="0046551E"/>
    <w:rsid w:val="00470C65"/>
    <w:rsid w:val="00476823"/>
    <w:rsid w:val="00476C2A"/>
    <w:rsid w:val="00477E3E"/>
    <w:rsid w:val="00480C10"/>
    <w:rsid w:val="00481F55"/>
    <w:rsid w:val="00483468"/>
    <w:rsid w:val="00483DE7"/>
    <w:rsid w:val="00491882"/>
    <w:rsid w:val="0049213F"/>
    <w:rsid w:val="004925DF"/>
    <w:rsid w:val="0049613A"/>
    <w:rsid w:val="004A2F97"/>
    <w:rsid w:val="004A3081"/>
    <w:rsid w:val="004A488A"/>
    <w:rsid w:val="004A772F"/>
    <w:rsid w:val="004B49AA"/>
    <w:rsid w:val="004C0ECA"/>
    <w:rsid w:val="004C5F77"/>
    <w:rsid w:val="004D1F1C"/>
    <w:rsid w:val="004D3F76"/>
    <w:rsid w:val="004D4F96"/>
    <w:rsid w:val="004D634E"/>
    <w:rsid w:val="004E26B2"/>
    <w:rsid w:val="004E7551"/>
    <w:rsid w:val="004F25FD"/>
    <w:rsid w:val="004F53B6"/>
    <w:rsid w:val="004F622E"/>
    <w:rsid w:val="00500B75"/>
    <w:rsid w:val="00501346"/>
    <w:rsid w:val="00505979"/>
    <w:rsid w:val="00510555"/>
    <w:rsid w:val="0051062E"/>
    <w:rsid w:val="0051448E"/>
    <w:rsid w:val="00517C94"/>
    <w:rsid w:val="00517F9D"/>
    <w:rsid w:val="00520E7B"/>
    <w:rsid w:val="00520F4B"/>
    <w:rsid w:val="00521317"/>
    <w:rsid w:val="00524FF3"/>
    <w:rsid w:val="00527F03"/>
    <w:rsid w:val="00527F8A"/>
    <w:rsid w:val="005328B5"/>
    <w:rsid w:val="00537332"/>
    <w:rsid w:val="005446A1"/>
    <w:rsid w:val="0054719B"/>
    <w:rsid w:val="005504F9"/>
    <w:rsid w:val="005507C5"/>
    <w:rsid w:val="0055738F"/>
    <w:rsid w:val="00557D4B"/>
    <w:rsid w:val="00560F08"/>
    <w:rsid w:val="0056101D"/>
    <w:rsid w:val="0056568B"/>
    <w:rsid w:val="00572FDD"/>
    <w:rsid w:val="0057366E"/>
    <w:rsid w:val="005744CD"/>
    <w:rsid w:val="00575054"/>
    <w:rsid w:val="005778BD"/>
    <w:rsid w:val="00582CAB"/>
    <w:rsid w:val="00586156"/>
    <w:rsid w:val="005864D9"/>
    <w:rsid w:val="0059466F"/>
    <w:rsid w:val="00595973"/>
    <w:rsid w:val="00597070"/>
    <w:rsid w:val="005A312F"/>
    <w:rsid w:val="005A3335"/>
    <w:rsid w:val="005A65BE"/>
    <w:rsid w:val="005A6DE2"/>
    <w:rsid w:val="005A74A0"/>
    <w:rsid w:val="005A74CD"/>
    <w:rsid w:val="005B0A3D"/>
    <w:rsid w:val="005B5084"/>
    <w:rsid w:val="005B738C"/>
    <w:rsid w:val="005C2E12"/>
    <w:rsid w:val="005C4F4B"/>
    <w:rsid w:val="005D201C"/>
    <w:rsid w:val="005D3E25"/>
    <w:rsid w:val="005D5534"/>
    <w:rsid w:val="005D6B6E"/>
    <w:rsid w:val="005E3C63"/>
    <w:rsid w:val="005E4F72"/>
    <w:rsid w:val="005E55F7"/>
    <w:rsid w:val="005E6C8C"/>
    <w:rsid w:val="005F1605"/>
    <w:rsid w:val="005F3A25"/>
    <w:rsid w:val="00600B37"/>
    <w:rsid w:val="00601F79"/>
    <w:rsid w:val="00610DC9"/>
    <w:rsid w:val="00612769"/>
    <w:rsid w:val="00620296"/>
    <w:rsid w:val="006209CD"/>
    <w:rsid w:val="00623263"/>
    <w:rsid w:val="00632162"/>
    <w:rsid w:val="00635308"/>
    <w:rsid w:val="00640363"/>
    <w:rsid w:val="0064384F"/>
    <w:rsid w:val="006438A3"/>
    <w:rsid w:val="00647D8A"/>
    <w:rsid w:val="00651E33"/>
    <w:rsid w:val="006530FE"/>
    <w:rsid w:val="00662A01"/>
    <w:rsid w:val="00667A31"/>
    <w:rsid w:val="00674409"/>
    <w:rsid w:val="00674A20"/>
    <w:rsid w:val="006805FD"/>
    <w:rsid w:val="006807E3"/>
    <w:rsid w:val="006813FA"/>
    <w:rsid w:val="00682E89"/>
    <w:rsid w:val="00683D31"/>
    <w:rsid w:val="006915FF"/>
    <w:rsid w:val="00694ED0"/>
    <w:rsid w:val="00696FB8"/>
    <w:rsid w:val="006A307F"/>
    <w:rsid w:val="006A4AFA"/>
    <w:rsid w:val="006A712D"/>
    <w:rsid w:val="006B0A8C"/>
    <w:rsid w:val="006B2436"/>
    <w:rsid w:val="006B3A59"/>
    <w:rsid w:val="006B79E3"/>
    <w:rsid w:val="006C1D96"/>
    <w:rsid w:val="006C5ED9"/>
    <w:rsid w:val="006D7A22"/>
    <w:rsid w:val="006E030C"/>
    <w:rsid w:val="006E175E"/>
    <w:rsid w:val="006E254E"/>
    <w:rsid w:val="006E7B65"/>
    <w:rsid w:val="006F61A7"/>
    <w:rsid w:val="00702EB8"/>
    <w:rsid w:val="007067A8"/>
    <w:rsid w:val="00710096"/>
    <w:rsid w:val="00712BC8"/>
    <w:rsid w:val="007130B5"/>
    <w:rsid w:val="00714746"/>
    <w:rsid w:val="007165F3"/>
    <w:rsid w:val="00717CCC"/>
    <w:rsid w:val="00722924"/>
    <w:rsid w:val="007331DA"/>
    <w:rsid w:val="00733D15"/>
    <w:rsid w:val="00735119"/>
    <w:rsid w:val="007366C0"/>
    <w:rsid w:val="00737E91"/>
    <w:rsid w:val="007425C0"/>
    <w:rsid w:val="00743D60"/>
    <w:rsid w:val="00745B50"/>
    <w:rsid w:val="00745BCD"/>
    <w:rsid w:val="00750465"/>
    <w:rsid w:val="007535E7"/>
    <w:rsid w:val="0075364E"/>
    <w:rsid w:val="0075535C"/>
    <w:rsid w:val="0075604E"/>
    <w:rsid w:val="007575DD"/>
    <w:rsid w:val="00757E09"/>
    <w:rsid w:val="00762AA8"/>
    <w:rsid w:val="00764301"/>
    <w:rsid w:val="007647D7"/>
    <w:rsid w:val="00784C01"/>
    <w:rsid w:val="00784DC8"/>
    <w:rsid w:val="00790093"/>
    <w:rsid w:val="0079416A"/>
    <w:rsid w:val="00794448"/>
    <w:rsid w:val="0079447F"/>
    <w:rsid w:val="0079595B"/>
    <w:rsid w:val="00796340"/>
    <w:rsid w:val="007A0393"/>
    <w:rsid w:val="007B62B2"/>
    <w:rsid w:val="007C0C7E"/>
    <w:rsid w:val="007C1101"/>
    <w:rsid w:val="007C370A"/>
    <w:rsid w:val="007C3908"/>
    <w:rsid w:val="007C475C"/>
    <w:rsid w:val="007D168D"/>
    <w:rsid w:val="007D38E7"/>
    <w:rsid w:val="007D4525"/>
    <w:rsid w:val="007D461B"/>
    <w:rsid w:val="007E1D59"/>
    <w:rsid w:val="007E24D6"/>
    <w:rsid w:val="007E6B5F"/>
    <w:rsid w:val="007E7769"/>
    <w:rsid w:val="007F635A"/>
    <w:rsid w:val="007F6421"/>
    <w:rsid w:val="007F72E4"/>
    <w:rsid w:val="0080168D"/>
    <w:rsid w:val="008019C7"/>
    <w:rsid w:val="00801FF0"/>
    <w:rsid w:val="00810180"/>
    <w:rsid w:val="00810FE0"/>
    <w:rsid w:val="00814286"/>
    <w:rsid w:val="00820856"/>
    <w:rsid w:val="008208F6"/>
    <w:rsid w:val="00820A4A"/>
    <w:rsid w:val="00821964"/>
    <w:rsid w:val="008221BA"/>
    <w:rsid w:val="008260B0"/>
    <w:rsid w:val="008319A5"/>
    <w:rsid w:val="0083283A"/>
    <w:rsid w:val="00835C35"/>
    <w:rsid w:val="00844952"/>
    <w:rsid w:val="00850096"/>
    <w:rsid w:val="008539A0"/>
    <w:rsid w:val="0085676B"/>
    <w:rsid w:val="008569C8"/>
    <w:rsid w:val="008639B9"/>
    <w:rsid w:val="0086481F"/>
    <w:rsid w:val="00866ACC"/>
    <w:rsid w:val="00866F78"/>
    <w:rsid w:val="00867677"/>
    <w:rsid w:val="00872DC9"/>
    <w:rsid w:val="00873CD1"/>
    <w:rsid w:val="00874392"/>
    <w:rsid w:val="008744D8"/>
    <w:rsid w:val="00874DDA"/>
    <w:rsid w:val="0088116B"/>
    <w:rsid w:val="00887229"/>
    <w:rsid w:val="0089184B"/>
    <w:rsid w:val="0089235F"/>
    <w:rsid w:val="008928DE"/>
    <w:rsid w:val="00893CDD"/>
    <w:rsid w:val="00893F41"/>
    <w:rsid w:val="008A0F3C"/>
    <w:rsid w:val="008A385C"/>
    <w:rsid w:val="008A43E0"/>
    <w:rsid w:val="008B06FC"/>
    <w:rsid w:val="008B340A"/>
    <w:rsid w:val="008B3FAF"/>
    <w:rsid w:val="008B5CE3"/>
    <w:rsid w:val="008B632A"/>
    <w:rsid w:val="008B6A31"/>
    <w:rsid w:val="008B7A41"/>
    <w:rsid w:val="008B7F3F"/>
    <w:rsid w:val="008C075D"/>
    <w:rsid w:val="008C0D11"/>
    <w:rsid w:val="008C336F"/>
    <w:rsid w:val="008C6866"/>
    <w:rsid w:val="008C6B2A"/>
    <w:rsid w:val="008C724C"/>
    <w:rsid w:val="008D022D"/>
    <w:rsid w:val="008D58EC"/>
    <w:rsid w:val="008D60F7"/>
    <w:rsid w:val="008E469A"/>
    <w:rsid w:val="008F135D"/>
    <w:rsid w:val="008F345D"/>
    <w:rsid w:val="008F3E1A"/>
    <w:rsid w:val="00900B1E"/>
    <w:rsid w:val="00900DDD"/>
    <w:rsid w:val="00901E73"/>
    <w:rsid w:val="00904028"/>
    <w:rsid w:val="00905BDA"/>
    <w:rsid w:val="00905CEA"/>
    <w:rsid w:val="00910683"/>
    <w:rsid w:val="00911E51"/>
    <w:rsid w:val="009227A4"/>
    <w:rsid w:val="0092732D"/>
    <w:rsid w:val="00927AA0"/>
    <w:rsid w:val="00930937"/>
    <w:rsid w:val="00932470"/>
    <w:rsid w:val="00933FE6"/>
    <w:rsid w:val="00935E08"/>
    <w:rsid w:val="0094102A"/>
    <w:rsid w:val="009423AD"/>
    <w:rsid w:val="0094584E"/>
    <w:rsid w:val="009467F5"/>
    <w:rsid w:val="00946B91"/>
    <w:rsid w:val="00946ECC"/>
    <w:rsid w:val="00952795"/>
    <w:rsid w:val="00953207"/>
    <w:rsid w:val="00954101"/>
    <w:rsid w:val="009541E0"/>
    <w:rsid w:val="0095520E"/>
    <w:rsid w:val="00963807"/>
    <w:rsid w:val="00965F9D"/>
    <w:rsid w:val="00972BE8"/>
    <w:rsid w:val="00975017"/>
    <w:rsid w:val="00977172"/>
    <w:rsid w:val="00980734"/>
    <w:rsid w:val="00983CCC"/>
    <w:rsid w:val="00983EFA"/>
    <w:rsid w:val="0099393C"/>
    <w:rsid w:val="009A0514"/>
    <w:rsid w:val="009A3F14"/>
    <w:rsid w:val="009A63A0"/>
    <w:rsid w:val="009A6EF5"/>
    <w:rsid w:val="009A7E38"/>
    <w:rsid w:val="009B02BB"/>
    <w:rsid w:val="009B2ADD"/>
    <w:rsid w:val="009B35DE"/>
    <w:rsid w:val="009B4B23"/>
    <w:rsid w:val="009B5D79"/>
    <w:rsid w:val="009B6873"/>
    <w:rsid w:val="009C1283"/>
    <w:rsid w:val="009C1D18"/>
    <w:rsid w:val="009D25C6"/>
    <w:rsid w:val="009D44D5"/>
    <w:rsid w:val="009D4D12"/>
    <w:rsid w:val="009D5294"/>
    <w:rsid w:val="009E2C20"/>
    <w:rsid w:val="009F0072"/>
    <w:rsid w:val="009F10B9"/>
    <w:rsid w:val="009F4BFB"/>
    <w:rsid w:val="00A02592"/>
    <w:rsid w:val="00A060DA"/>
    <w:rsid w:val="00A06549"/>
    <w:rsid w:val="00A06A6D"/>
    <w:rsid w:val="00A06BA2"/>
    <w:rsid w:val="00A06D2F"/>
    <w:rsid w:val="00A06DC4"/>
    <w:rsid w:val="00A168C0"/>
    <w:rsid w:val="00A23580"/>
    <w:rsid w:val="00A238B6"/>
    <w:rsid w:val="00A24B69"/>
    <w:rsid w:val="00A27BA8"/>
    <w:rsid w:val="00A30C68"/>
    <w:rsid w:val="00A33AC8"/>
    <w:rsid w:val="00A34ED4"/>
    <w:rsid w:val="00A40DBD"/>
    <w:rsid w:val="00A450A0"/>
    <w:rsid w:val="00A45641"/>
    <w:rsid w:val="00A45914"/>
    <w:rsid w:val="00A5043D"/>
    <w:rsid w:val="00A52349"/>
    <w:rsid w:val="00A52F69"/>
    <w:rsid w:val="00A544C8"/>
    <w:rsid w:val="00A54682"/>
    <w:rsid w:val="00A553CA"/>
    <w:rsid w:val="00A60902"/>
    <w:rsid w:val="00A624A4"/>
    <w:rsid w:val="00A64E9E"/>
    <w:rsid w:val="00A65F7B"/>
    <w:rsid w:val="00A70500"/>
    <w:rsid w:val="00A7558E"/>
    <w:rsid w:val="00A75C87"/>
    <w:rsid w:val="00A770E6"/>
    <w:rsid w:val="00A8319B"/>
    <w:rsid w:val="00A833C0"/>
    <w:rsid w:val="00A85EE4"/>
    <w:rsid w:val="00A86E0F"/>
    <w:rsid w:val="00A91281"/>
    <w:rsid w:val="00A9229B"/>
    <w:rsid w:val="00A92AC2"/>
    <w:rsid w:val="00A93ED9"/>
    <w:rsid w:val="00A9498E"/>
    <w:rsid w:val="00AA0C73"/>
    <w:rsid w:val="00AA43FE"/>
    <w:rsid w:val="00AA6350"/>
    <w:rsid w:val="00AA685A"/>
    <w:rsid w:val="00AB0159"/>
    <w:rsid w:val="00AB16E1"/>
    <w:rsid w:val="00AB425B"/>
    <w:rsid w:val="00AB6DBE"/>
    <w:rsid w:val="00AC0FBA"/>
    <w:rsid w:val="00AC15EF"/>
    <w:rsid w:val="00AC1F3F"/>
    <w:rsid w:val="00AC2E25"/>
    <w:rsid w:val="00AD0869"/>
    <w:rsid w:val="00AD2460"/>
    <w:rsid w:val="00AD444A"/>
    <w:rsid w:val="00AD50E2"/>
    <w:rsid w:val="00AD7F52"/>
    <w:rsid w:val="00AE187B"/>
    <w:rsid w:val="00AE6490"/>
    <w:rsid w:val="00AE7EB7"/>
    <w:rsid w:val="00AF1253"/>
    <w:rsid w:val="00AF71CE"/>
    <w:rsid w:val="00B00EDB"/>
    <w:rsid w:val="00B01592"/>
    <w:rsid w:val="00B01FC2"/>
    <w:rsid w:val="00B06C22"/>
    <w:rsid w:val="00B06E32"/>
    <w:rsid w:val="00B07575"/>
    <w:rsid w:val="00B07B9D"/>
    <w:rsid w:val="00B16A2A"/>
    <w:rsid w:val="00B17212"/>
    <w:rsid w:val="00B17547"/>
    <w:rsid w:val="00B25FEE"/>
    <w:rsid w:val="00B25FF6"/>
    <w:rsid w:val="00B30767"/>
    <w:rsid w:val="00B31932"/>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60449"/>
    <w:rsid w:val="00B64F64"/>
    <w:rsid w:val="00B66A8B"/>
    <w:rsid w:val="00B67771"/>
    <w:rsid w:val="00B677BA"/>
    <w:rsid w:val="00B71340"/>
    <w:rsid w:val="00B73FDF"/>
    <w:rsid w:val="00B80622"/>
    <w:rsid w:val="00B822DC"/>
    <w:rsid w:val="00B82E59"/>
    <w:rsid w:val="00B8470E"/>
    <w:rsid w:val="00B84F3B"/>
    <w:rsid w:val="00B86860"/>
    <w:rsid w:val="00B96062"/>
    <w:rsid w:val="00BA11DA"/>
    <w:rsid w:val="00BA219C"/>
    <w:rsid w:val="00BA2B73"/>
    <w:rsid w:val="00BA2E5A"/>
    <w:rsid w:val="00BA3BB8"/>
    <w:rsid w:val="00BA6CD3"/>
    <w:rsid w:val="00BA7766"/>
    <w:rsid w:val="00BA77E3"/>
    <w:rsid w:val="00BB3434"/>
    <w:rsid w:val="00BB4DA5"/>
    <w:rsid w:val="00BC0D0A"/>
    <w:rsid w:val="00BC2BDF"/>
    <w:rsid w:val="00BC2C76"/>
    <w:rsid w:val="00BC3A60"/>
    <w:rsid w:val="00BC54A0"/>
    <w:rsid w:val="00BD0F8A"/>
    <w:rsid w:val="00BD52C2"/>
    <w:rsid w:val="00BE1144"/>
    <w:rsid w:val="00BE7E96"/>
    <w:rsid w:val="00BF27FB"/>
    <w:rsid w:val="00BF39D2"/>
    <w:rsid w:val="00BF66DB"/>
    <w:rsid w:val="00C0511A"/>
    <w:rsid w:val="00C05451"/>
    <w:rsid w:val="00C056B0"/>
    <w:rsid w:val="00C05C78"/>
    <w:rsid w:val="00C07A6B"/>
    <w:rsid w:val="00C15973"/>
    <w:rsid w:val="00C16784"/>
    <w:rsid w:val="00C23CDB"/>
    <w:rsid w:val="00C24B05"/>
    <w:rsid w:val="00C262A2"/>
    <w:rsid w:val="00C27042"/>
    <w:rsid w:val="00C30A2F"/>
    <w:rsid w:val="00C32B82"/>
    <w:rsid w:val="00C33EA5"/>
    <w:rsid w:val="00C36A53"/>
    <w:rsid w:val="00C4411B"/>
    <w:rsid w:val="00C51EDA"/>
    <w:rsid w:val="00C55A89"/>
    <w:rsid w:val="00C56CEA"/>
    <w:rsid w:val="00C57A08"/>
    <w:rsid w:val="00C6283C"/>
    <w:rsid w:val="00C65431"/>
    <w:rsid w:val="00C672BE"/>
    <w:rsid w:val="00C70EAA"/>
    <w:rsid w:val="00C7266E"/>
    <w:rsid w:val="00C74923"/>
    <w:rsid w:val="00C74C69"/>
    <w:rsid w:val="00C75552"/>
    <w:rsid w:val="00C76404"/>
    <w:rsid w:val="00C778FF"/>
    <w:rsid w:val="00C80DB7"/>
    <w:rsid w:val="00C84CE5"/>
    <w:rsid w:val="00C90D68"/>
    <w:rsid w:val="00C939E4"/>
    <w:rsid w:val="00C94E0B"/>
    <w:rsid w:val="00CB2165"/>
    <w:rsid w:val="00CB3036"/>
    <w:rsid w:val="00CB37F3"/>
    <w:rsid w:val="00CB704C"/>
    <w:rsid w:val="00CC10E9"/>
    <w:rsid w:val="00CC4D26"/>
    <w:rsid w:val="00CD37DE"/>
    <w:rsid w:val="00CD4191"/>
    <w:rsid w:val="00CD471E"/>
    <w:rsid w:val="00CD637C"/>
    <w:rsid w:val="00CD6583"/>
    <w:rsid w:val="00CE04F7"/>
    <w:rsid w:val="00CE4642"/>
    <w:rsid w:val="00CE6983"/>
    <w:rsid w:val="00CF45DD"/>
    <w:rsid w:val="00CF6345"/>
    <w:rsid w:val="00CF7625"/>
    <w:rsid w:val="00D03AD4"/>
    <w:rsid w:val="00D047DA"/>
    <w:rsid w:val="00D04BEA"/>
    <w:rsid w:val="00D05C13"/>
    <w:rsid w:val="00D06194"/>
    <w:rsid w:val="00D0651D"/>
    <w:rsid w:val="00D10724"/>
    <w:rsid w:val="00D14140"/>
    <w:rsid w:val="00D15E27"/>
    <w:rsid w:val="00D161D7"/>
    <w:rsid w:val="00D201DA"/>
    <w:rsid w:val="00D24C0A"/>
    <w:rsid w:val="00D26187"/>
    <w:rsid w:val="00D2656E"/>
    <w:rsid w:val="00D3097D"/>
    <w:rsid w:val="00D31AEF"/>
    <w:rsid w:val="00D40150"/>
    <w:rsid w:val="00D4085B"/>
    <w:rsid w:val="00D434AA"/>
    <w:rsid w:val="00D435C2"/>
    <w:rsid w:val="00D43F0A"/>
    <w:rsid w:val="00D53702"/>
    <w:rsid w:val="00D56416"/>
    <w:rsid w:val="00D57B76"/>
    <w:rsid w:val="00D6066F"/>
    <w:rsid w:val="00D60EF1"/>
    <w:rsid w:val="00D61DA9"/>
    <w:rsid w:val="00D62A52"/>
    <w:rsid w:val="00D64B19"/>
    <w:rsid w:val="00D65537"/>
    <w:rsid w:val="00D70902"/>
    <w:rsid w:val="00D75223"/>
    <w:rsid w:val="00D76286"/>
    <w:rsid w:val="00D82162"/>
    <w:rsid w:val="00D8305F"/>
    <w:rsid w:val="00D87DDE"/>
    <w:rsid w:val="00D90AFC"/>
    <w:rsid w:val="00D90D15"/>
    <w:rsid w:val="00D95F0C"/>
    <w:rsid w:val="00D96190"/>
    <w:rsid w:val="00DA3BF2"/>
    <w:rsid w:val="00DA7FFB"/>
    <w:rsid w:val="00DB26F6"/>
    <w:rsid w:val="00DC6CBC"/>
    <w:rsid w:val="00DC6F4D"/>
    <w:rsid w:val="00DD7CCC"/>
    <w:rsid w:val="00DE1F14"/>
    <w:rsid w:val="00DE20C2"/>
    <w:rsid w:val="00DE4963"/>
    <w:rsid w:val="00DE5EF4"/>
    <w:rsid w:val="00DE72C9"/>
    <w:rsid w:val="00DF3E88"/>
    <w:rsid w:val="00DF469B"/>
    <w:rsid w:val="00E02AC2"/>
    <w:rsid w:val="00E030A6"/>
    <w:rsid w:val="00E03FCE"/>
    <w:rsid w:val="00E06B08"/>
    <w:rsid w:val="00E071AF"/>
    <w:rsid w:val="00E07417"/>
    <w:rsid w:val="00E15ED1"/>
    <w:rsid w:val="00E1694B"/>
    <w:rsid w:val="00E179BC"/>
    <w:rsid w:val="00E17F89"/>
    <w:rsid w:val="00E20391"/>
    <w:rsid w:val="00E2389A"/>
    <w:rsid w:val="00E251FD"/>
    <w:rsid w:val="00E26E6A"/>
    <w:rsid w:val="00E3117A"/>
    <w:rsid w:val="00E31684"/>
    <w:rsid w:val="00E31BC4"/>
    <w:rsid w:val="00E32DDA"/>
    <w:rsid w:val="00E32EE8"/>
    <w:rsid w:val="00E357FC"/>
    <w:rsid w:val="00E37D8F"/>
    <w:rsid w:val="00E45CA6"/>
    <w:rsid w:val="00E4711B"/>
    <w:rsid w:val="00E537D5"/>
    <w:rsid w:val="00E5486D"/>
    <w:rsid w:val="00E571C2"/>
    <w:rsid w:val="00E605EA"/>
    <w:rsid w:val="00E64FFE"/>
    <w:rsid w:val="00E670D8"/>
    <w:rsid w:val="00E74900"/>
    <w:rsid w:val="00E74BCC"/>
    <w:rsid w:val="00E836D1"/>
    <w:rsid w:val="00E85198"/>
    <w:rsid w:val="00E860F3"/>
    <w:rsid w:val="00E958B0"/>
    <w:rsid w:val="00E958E3"/>
    <w:rsid w:val="00E9595B"/>
    <w:rsid w:val="00EA0051"/>
    <w:rsid w:val="00EA2860"/>
    <w:rsid w:val="00EA2CBA"/>
    <w:rsid w:val="00EA7263"/>
    <w:rsid w:val="00EA74C5"/>
    <w:rsid w:val="00EB2E5E"/>
    <w:rsid w:val="00EB76BB"/>
    <w:rsid w:val="00EB7BC9"/>
    <w:rsid w:val="00EC2CE5"/>
    <w:rsid w:val="00EC5808"/>
    <w:rsid w:val="00EC720F"/>
    <w:rsid w:val="00ED1A12"/>
    <w:rsid w:val="00ED2BD4"/>
    <w:rsid w:val="00ED316F"/>
    <w:rsid w:val="00ED6A14"/>
    <w:rsid w:val="00EE0351"/>
    <w:rsid w:val="00EE564D"/>
    <w:rsid w:val="00EF15B3"/>
    <w:rsid w:val="00EF38BF"/>
    <w:rsid w:val="00EF3FC9"/>
    <w:rsid w:val="00EF4C3F"/>
    <w:rsid w:val="00EF786E"/>
    <w:rsid w:val="00F00BC4"/>
    <w:rsid w:val="00F0175D"/>
    <w:rsid w:val="00F0352C"/>
    <w:rsid w:val="00F03D87"/>
    <w:rsid w:val="00F1098D"/>
    <w:rsid w:val="00F10A93"/>
    <w:rsid w:val="00F11B37"/>
    <w:rsid w:val="00F127CE"/>
    <w:rsid w:val="00F1324F"/>
    <w:rsid w:val="00F22702"/>
    <w:rsid w:val="00F2289D"/>
    <w:rsid w:val="00F26AE1"/>
    <w:rsid w:val="00F30092"/>
    <w:rsid w:val="00F31C29"/>
    <w:rsid w:val="00F321D7"/>
    <w:rsid w:val="00F34287"/>
    <w:rsid w:val="00F36DAE"/>
    <w:rsid w:val="00F43612"/>
    <w:rsid w:val="00F43A50"/>
    <w:rsid w:val="00F45DBB"/>
    <w:rsid w:val="00F460EB"/>
    <w:rsid w:val="00F46141"/>
    <w:rsid w:val="00F472FC"/>
    <w:rsid w:val="00F47E3B"/>
    <w:rsid w:val="00F50996"/>
    <w:rsid w:val="00F5209A"/>
    <w:rsid w:val="00F542EA"/>
    <w:rsid w:val="00F5785D"/>
    <w:rsid w:val="00F629D0"/>
    <w:rsid w:val="00F637C3"/>
    <w:rsid w:val="00F63972"/>
    <w:rsid w:val="00F66D3C"/>
    <w:rsid w:val="00F67F4B"/>
    <w:rsid w:val="00F731F3"/>
    <w:rsid w:val="00F83FCC"/>
    <w:rsid w:val="00F845AA"/>
    <w:rsid w:val="00F85BD3"/>
    <w:rsid w:val="00F8682C"/>
    <w:rsid w:val="00F90E18"/>
    <w:rsid w:val="00F90E1B"/>
    <w:rsid w:val="00F92013"/>
    <w:rsid w:val="00FA00E1"/>
    <w:rsid w:val="00FA0994"/>
    <w:rsid w:val="00FA10DD"/>
    <w:rsid w:val="00FA2448"/>
    <w:rsid w:val="00FA3D40"/>
    <w:rsid w:val="00FA4419"/>
    <w:rsid w:val="00FA4CAA"/>
    <w:rsid w:val="00FA693D"/>
    <w:rsid w:val="00FA76F3"/>
    <w:rsid w:val="00FA7D36"/>
    <w:rsid w:val="00FB1A4D"/>
    <w:rsid w:val="00FB5638"/>
    <w:rsid w:val="00FB59C6"/>
    <w:rsid w:val="00FB7C76"/>
    <w:rsid w:val="00FD4AD2"/>
    <w:rsid w:val="00FD7CBB"/>
    <w:rsid w:val="00FE0E3C"/>
    <w:rsid w:val="00FE44AD"/>
    <w:rsid w:val="00FF1B74"/>
    <w:rsid w:val="00FF2302"/>
    <w:rsid w:val="00FF2EA9"/>
    <w:rsid w:val="00FF3A7F"/>
    <w:rsid w:val="00FF3C1E"/>
    <w:rsid w:val="00FF51D2"/>
    <w:rsid w:val="00FF5A0C"/>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084"/>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character" w:customStyle="1" w:styleId="TALCar">
    <w:name w:val="TAL Car"/>
    <w:link w:val="TAL"/>
    <w:qFormat/>
    <w:locked/>
    <w:rsid w:val="002F6257"/>
    <w:rPr>
      <w:rFonts w:ascii="Arial" w:eastAsia="Times New Roman" w:hAnsi="Arial"/>
      <w:sz w:val="18"/>
      <w:lang w:val="en-GB" w:eastAsia="ja-JP"/>
    </w:rPr>
  </w:style>
  <w:style w:type="paragraph" w:customStyle="1" w:styleId="TAL">
    <w:name w:val="TAL"/>
    <w:basedOn w:val="Normal"/>
    <w:link w:val="TALCar"/>
    <w:qFormat/>
    <w:rsid w:val="002F6257"/>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customXml/itemProps4.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725</Words>
  <Characters>4137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2022-02-14T18:12:00Z</dcterms:created>
  <dcterms:modified xsi:type="dcterms:W3CDTF">2022-02-14T18:12:00Z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